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23793">
      <w:pPr>
        <w:keepNext w:val="0"/>
        <w:keepLines w:val="0"/>
        <w:pageBreakBefore w:val="0"/>
        <w:widowControl w:val="0"/>
        <w:kinsoku/>
        <w:wordWrap/>
        <w:overflowPunct w:val="0"/>
        <w:topLinePunct w:val="0"/>
        <w:autoSpaceDE/>
        <w:autoSpaceDN/>
        <w:bidi w:val="0"/>
        <w:adjustRightInd w:val="0"/>
        <w:snapToGrid w:val="0"/>
        <w:spacing w:line="594" w:lineRule="exact"/>
        <w:jc w:val="both"/>
        <w:textAlignment w:val="auto"/>
        <w:rPr>
          <w:rFonts w:hint="eastAsia" w:ascii="Times New Roman" w:hAnsi="Times New Roman" w:eastAsia="黑体" w:cs="黑体"/>
          <w:snapToGrid w:val="0"/>
          <w:color w:val="auto"/>
          <w:sz w:val="32"/>
          <w:szCs w:val="32"/>
          <w:lang w:val="en-US" w:eastAsia="zh-CN"/>
        </w:rPr>
      </w:pPr>
      <w:r>
        <w:rPr>
          <w:rFonts w:hint="eastAsia" w:ascii="Times New Roman" w:hAnsi="Times New Roman" w:eastAsia="黑体" w:cs="黑体"/>
          <w:snapToGrid w:val="0"/>
          <w:color w:val="auto"/>
          <w:sz w:val="32"/>
          <w:szCs w:val="32"/>
          <w:lang w:val="en-US" w:eastAsia="zh-CN"/>
        </w:rPr>
        <w:t>附件</w:t>
      </w:r>
    </w:p>
    <w:p w14:paraId="5714948F">
      <w:pPr>
        <w:keepNext w:val="0"/>
        <w:keepLines w:val="0"/>
        <w:pageBreakBefore w:val="0"/>
        <w:widowControl w:val="0"/>
        <w:kinsoku/>
        <w:wordWrap/>
        <w:overflowPunct w:val="0"/>
        <w:topLinePunct w:val="0"/>
        <w:autoSpaceDE/>
        <w:autoSpaceDN/>
        <w:bidi w:val="0"/>
        <w:adjustRightInd w:val="0"/>
        <w:snapToGrid w:val="0"/>
        <w:spacing w:line="594" w:lineRule="exact"/>
        <w:jc w:val="both"/>
        <w:textAlignment w:val="auto"/>
        <w:rPr>
          <w:rFonts w:hint="eastAsia" w:ascii="Times New Roman" w:hAnsi="Times New Roman" w:eastAsia="黑体" w:cs="黑体"/>
          <w:snapToGrid w:val="0"/>
          <w:color w:val="auto"/>
          <w:sz w:val="32"/>
          <w:szCs w:val="32"/>
          <w:lang w:val="en-US" w:eastAsia="zh-CN"/>
        </w:rPr>
      </w:pPr>
    </w:p>
    <w:p w14:paraId="2A619F7B">
      <w:pPr>
        <w:keepNext w:val="0"/>
        <w:keepLines w:val="0"/>
        <w:pageBreakBefore w:val="0"/>
        <w:widowControl w:val="0"/>
        <w:kinsoku/>
        <w:wordWrap/>
        <w:overflowPunct w:val="0"/>
        <w:topLinePunct w:val="0"/>
        <w:autoSpaceDE/>
        <w:autoSpaceDN/>
        <w:bidi w:val="0"/>
        <w:adjustRightInd w:val="0"/>
        <w:snapToGrid w:val="0"/>
        <w:spacing w:line="594" w:lineRule="exact"/>
        <w:jc w:val="center"/>
        <w:textAlignment w:val="auto"/>
        <w:rPr>
          <w:rFonts w:hint="eastAsia" w:ascii="Times New Roman" w:hAnsi="Times New Roman" w:eastAsia="方正小标宋简体" w:cs="方正小标宋简体"/>
          <w:snapToGrid w:val="0"/>
          <w:color w:val="auto"/>
          <w:sz w:val="44"/>
          <w:szCs w:val="44"/>
          <w:lang w:val="en-US" w:eastAsia="zh-CN"/>
        </w:rPr>
      </w:pPr>
      <w:r>
        <w:rPr>
          <w:rFonts w:hint="eastAsia" w:ascii="Times New Roman" w:hAnsi="Times New Roman" w:eastAsia="方正小标宋简体" w:cs="方正小标宋简体"/>
          <w:snapToGrid w:val="0"/>
          <w:color w:val="auto"/>
          <w:sz w:val="44"/>
          <w:szCs w:val="44"/>
          <w:lang w:val="en-US" w:eastAsia="zh-CN"/>
        </w:rPr>
        <w:t>移动电源等CCC认证目录描述与依据标准清单</w:t>
      </w:r>
    </w:p>
    <w:p w14:paraId="10CA617B">
      <w:pPr>
        <w:keepNext w:val="0"/>
        <w:keepLines w:val="0"/>
        <w:pageBreakBefore w:val="0"/>
        <w:widowControl w:val="0"/>
        <w:kinsoku/>
        <w:wordWrap w:val="0"/>
        <w:overflowPunct/>
        <w:topLinePunct w:val="0"/>
        <w:autoSpaceDE/>
        <w:autoSpaceDN/>
        <w:bidi w:val="0"/>
        <w:adjustRightInd/>
        <w:snapToGrid w:val="0"/>
        <w:spacing w:line="594" w:lineRule="exact"/>
        <w:jc w:val="center"/>
        <w:textAlignment w:val="auto"/>
        <w:rPr>
          <w:rFonts w:hint="eastAsia" w:ascii="方正小标宋简体" w:hAnsi="方正小标宋简体" w:eastAsia="方正小标宋简体" w:cs="方正小标宋简体"/>
          <w:color w:val="auto"/>
          <w:sz w:val="44"/>
          <w:szCs w:val="44"/>
          <w:lang w:val="en-US" w:eastAsia="zh-CN"/>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036"/>
        <w:gridCol w:w="3942"/>
        <w:gridCol w:w="2562"/>
        <w:gridCol w:w="3283"/>
        <w:gridCol w:w="2249"/>
      </w:tblGrid>
      <w:tr w14:paraId="079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atLeast"/>
          <w:jc w:val="center"/>
        </w:trPr>
        <w:tc>
          <w:tcPr>
            <w:tcW w:w="1907" w:type="dxa"/>
            <w:noWrap w:val="0"/>
            <w:vAlign w:val="center"/>
          </w:tcPr>
          <w:p w14:paraId="71E83053">
            <w:pPr>
              <w:numPr>
                <w:ilvl w:val="0"/>
                <w:numId w:val="0"/>
              </w:numPr>
              <w:topLinePunct w:val="0"/>
              <w:spacing w:line="360" w:lineRule="exact"/>
              <w:jc w:val="center"/>
              <w:rPr>
                <w:rFonts w:hint="eastAsia" w:ascii="黑体" w:hAnsi="黑体" w:eastAsia="黑体" w:cs="黑体"/>
                <w:b w:val="0"/>
                <w:bCs w:val="0"/>
                <w:snapToGrid w:val="0"/>
                <w:color w:val="auto"/>
                <w:sz w:val="21"/>
                <w:szCs w:val="21"/>
                <w:vertAlign w:val="baseline"/>
                <w:lang w:val="en-US" w:eastAsia="zh-CN"/>
              </w:rPr>
            </w:pPr>
            <w:r>
              <w:rPr>
                <w:rFonts w:hint="eastAsia" w:ascii="黑体" w:hAnsi="黑体" w:eastAsia="黑体" w:cs="黑体"/>
                <w:b w:val="0"/>
                <w:bCs w:val="0"/>
                <w:snapToGrid w:val="0"/>
                <w:color w:val="auto"/>
                <w:sz w:val="21"/>
                <w:szCs w:val="21"/>
                <w:vertAlign w:val="baseline"/>
                <w:lang w:val="en-US" w:eastAsia="zh-CN"/>
              </w:rPr>
              <w:t>产品种类及代码</w:t>
            </w:r>
          </w:p>
        </w:tc>
        <w:tc>
          <w:tcPr>
            <w:tcW w:w="3693" w:type="dxa"/>
            <w:noWrap w:val="0"/>
            <w:vAlign w:val="center"/>
          </w:tcPr>
          <w:p w14:paraId="17A9B181">
            <w:pPr>
              <w:numPr>
                <w:ilvl w:val="0"/>
                <w:numId w:val="0"/>
              </w:numPr>
              <w:topLinePunct w:val="0"/>
              <w:spacing w:line="360" w:lineRule="exact"/>
              <w:jc w:val="center"/>
              <w:rPr>
                <w:rFonts w:hint="eastAsia" w:ascii="黑体" w:hAnsi="黑体" w:eastAsia="黑体" w:cs="黑体"/>
                <w:b w:val="0"/>
                <w:bCs w:val="0"/>
                <w:snapToGrid w:val="0"/>
                <w:color w:val="auto"/>
                <w:sz w:val="21"/>
                <w:szCs w:val="21"/>
                <w:vertAlign w:val="baseline"/>
                <w:lang w:val="en-US" w:eastAsia="zh-CN"/>
              </w:rPr>
            </w:pPr>
            <w:r>
              <w:rPr>
                <w:rFonts w:hint="eastAsia" w:ascii="黑体" w:hAnsi="黑体" w:eastAsia="黑体" w:cs="黑体"/>
                <w:b w:val="0"/>
                <w:bCs w:val="0"/>
                <w:snapToGrid w:val="0"/>
                <w:color w:val="auto"/>
                <w:sz w:val="21"/>
                <w:szCs w:val="21"/>
                <w:vertAlign w:val="baseline"/>
                <w:lang w:val="en-US" w:eastAsia="zh-CN"/>
              </w:rPr>
              <w:t>对产品种类的描述</w:t>
            </w:r>
          </w:p>
        </w:tc>
        <w:tc>
          <w:tcPr>
            <w:tcW w:w="2400" w:type="dxa"/>
            <w:noWrap w:val="0"/>
            <w:vAlign w:val="center"/>
          </w:tcPr>
          <w:p w14:paraId="6643A91F">
            <w:pPr>
              <w:numPr>
                <w:ilvl w:val="0"/>
                <w:numId w:val="0"/>
              </w:numPr>
              <w:topLinePunct w:val="0"/>
              <w:spacing w:line="360" w:lineRule="exact"/>
              <w:jc w:val="center"/>
              <w:rPr>
                <w:rFonts w:hint="eastAsia" w:ascii="黑体" w:hAnsi="黑体" w:eastAsia="黑体" w:cs="黑体"/>
                <w:b w:val="0"/>
                <w:bCs w:val="0"/>
                <w:snapToGrid w:val="0"/>
                <w:color w:val="auto"/>
                <w:sz w:val="21"/>
                <w:szCs w:val="21"/>
                <w:vertAlign w:val="baseline"/>
                <w:lang w:val="en-US" w:eastAsia="zh-CN"/>
              </w:rPr>
            </w:pPr>
            <w:r>
              <w:rPr>
                <w:rFonts w:hint="eastAsia" w:ascii="黑体" w:hAnsi="黑体" w:eastAsia="黑体" w:cs="黑体"/>
                <w:b w:val="0"/>
                <w:bCs w:val="0"/>
                <w:snapToGrid w:val="0"/>
                <w:color w:val="auto"/>
                <w:sz w:val="21"/>
                <w:szCs w:val="21"/>
                <w:vertAlign w:val="baseline"/>
                <w:lang w:val="en-US" w:eastAsia="zh-CN"/>
              </w:rPr>
              <w:t>产品适用范围</w:t>
            </w:r>
          </w:p>
        </w:tc>
        <w:tc>
          <w:tcPr>
            <w:tcW w:w="3075" w:type="dxa"/>
            <w:noWrap w:val="0"/>
            <w:vAlign w:val="center"/>
          </w:tcPr>
          <w:p w14:paraId="0B68D5C4">
            <w:pPr>
              <w:numPr>
                <w:ilvl w:val="0"/>
                <w:numId w:val="0"/>
              </w:numPr>
              <w:topLinePunct w:val="0"/>
              <w:spacing w:line="360" w:lineRule="exact"/>
              <w:jc w:val="center"/>
              <w:rPr>
                <w:rFonts w:hint="eastAsia" w:ascii="黑体" w:hAnsi="黑体" w:eastAsia="黑体" w:cs="黑体"/>
                <w:b w:val="0"/>
                <w:bCs w:val="0"/>
                <w:snapToGrid w:val="0"/>
                <w:color w:val="auto"/>
                <w:sz w:val="21"/>
                <w:szCs w:val="21"/>
                <w:vertAlign w:val="baseline"/>
                <w:lang w:val="en-US" w:eastAsia="zh-CN"/>
              </w:rPr>
            </w:pPr>
            <w:r>
              <w:rPr>
                <w:rFonts w:hint="eastAsia" w:ascii="黑体" w:hAnsi="黑体" w:eastAsia="黑体" w:cs="黑体"/>
                <w:b w:val="0"/>
                <w:bCs w:val="0"/>
                <w:snapToGrid w:val="0"/>
                <w:color w:val="auto"/>
                <w:sz w:val="21"/>
                <w:szCs w:val="21"/>
                <w:vertAlign w:val="baseline"/>
                <w:lang w:val="en-US" w:eastAsia="zh-CN"/>
              </w:rPr>
              <w:t>对产品适用范围的描述或列举</w:t>
            </w:r>
          </w:p>
        </w:tc>
        <w:tc>
          <w:tcPr>
            <w:tcW w:w="2107" w:type="dxa"/>
            <w:noWrap w:val="0"/>
            <w:vAlign w:val="center"/>
          </w:tcPr>
          <w:p w14:paraId="34997983">
            <w:pPr>
              <w:numPr>
                <w:ilvl w:val="0"/>
                <w:numId w:val="0"/>
              </w:numPr>
              <w:topLinePunct w:val="0"/>
              <w:spacing w:line="360" w:lineRule="exact"/>
              <w:jc w:val="center"/>
              <w:rPr>
                <w:rFonts w:hint="eastAsia" w:ascii="黑体" w:hAnsi="黑体" w:eastAsia="黑体" w:cs="黑体"/>
                <w:b w:val="0"/>
                <w:bCs w:val="0"/>
                <w:snapToGrid w:val="0"/>
                <w:color w:val="auto"/>
                <w:sz w:val="21"/>
                <w:szCs w:val="21"/>
                <w:vertAlign w:val="baseline"/>
                <w:lang w:val="en-US" w:eastAsia="zh-CN"/>
              </w:rPr>
            </w:pPr>
            <w:r>
              <w:rPr>
                <w:rFonts w:hint="eastAsia" w:ascii="黑体" w:hAnsi="黑体" w:eastAsia="黑体" w:cs="黑体"/>
                <w:b w:val="0"/>
                <w:bCs w:val="0"/>
                <w:snapToGrid w:val="0"/>
                <w:color w:val="auto"/>
                <w:sz w:val="21"/>
                <w:szCs w:val="21"/>
                <w:vertAlign w:val="baseline"/>
                <w:lang w:val="en-US" w:eastAsia="zh-CN"/>
              </w:rPr>
              <w:t>说明</w:t>
            </w:r>
          </w:p>
        </w:tc>
      </w:tr>
      <w:tr w14:paraId="7813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1907" w:type="dxa"/>
            <w:noWrap w:val="0"/>
            <w:vAlign w:val="center"/>
          </w:tcPr>
          <w:p w14:paraId="2FB92E46">
            <w:pPr>
              <w:numPr>
                <w:ilvl w:val="0"/>
                <w:numId w:val="0"/>
              </w:numPr>
              <w:topLinePunct w:val="0"/>
              <w:spacing w:line="360" w:lineRule="exact"/>
              <w:jc w:val="center"/>
              <w:rPr>
                <w:rFonts w:hint="eastAsia" w:ascii="Times New Roman" w:hAnsi="Times New Roman" w:eastAsia="仿宋_GB2312" w:cs="仿宋_GB2312"/>
                <w:snapToGrid w:val="0"/>
                <w:color w:val="auto"/>
                <w:sz w:val="21"/>
                <w:szCs w:val="21"/>
                <w:vertAlign w:val="baseline"/>
                <w:lang w:val="en-US" w:eastAsia="zh-CN"/>
              </w:rPr>
            </w:pPr>
            <w:r>
              <w:rPr>
                <w:rFonts w:hint="eastAsia" w:ascii="Times New Roman" w:hAnsi="Times New Roman" w:eastAsia="仿宋_GB2312" w:cs="仿宋_GB2312"/>
                <w:b w:val="0"/>
                <w:bCs w:val="0"/>
                <w:snapToGrid w:val="0"/>
                <w:color w:val="auto"/>
                <w:sz w:val="21"/>
                <w:szCs w:val="21"/>
              </w:rPr>
              <w:t>移动电源</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rPr>
              <w:t>0914</w:t>
            </w:r>
            <w:r>
              <w:rPr>
                <w:rFonts w:hint="eastAsia" w:ascii="Times New Roman" w:hAnsi="Times New Roman" w:eastAsia="仿宋_GB2312" w:cs="仿宋_GB2312"/>
                <w:b w:val="0"/>
                <w:bCs w:val="0"/>
                <w:snapToGrid w:val="0"/>
                <w:color w:val="auto"/>
                <w:sz w:val="21"/>
                <w:szCs w:val="21"/>
                <w:lang w:eastAsia="zh-CN"/>
              </w:rPr>
              <w:t>）</w:t>
            </w:r>
          </w:p>
        </w:tc>
        <w:tc>
          <w:tcPr>
            <w:tcW w:w="3693" w:type="dxa"/>
            <w:noWrap w:val="0"/>
            <w:vAlign w:val="center"/>
          </w:tcPr>
          <w:p w14:paraId="523C6695">
            <w:pPr>
              <w:numPr>
                <w:ilvl w:val="0"/>
                <w:numId w:val="0"/>
              </w:numPr>
              <w:topLinePunct w:val="0"/>
              <w:spacing w:line="360" w:lineRule="exact"/>
              <w:jc w:val="both"/>
              <w:rPr>
                <w:rFonts w:hint="eastAsia" w:ascii="Times New Roman" w:hAnsi="Times New Roman" w:eastAsia="仿宋_GB2312" w:cs="仿宋_GB2312"/>
                <w:snapToGrid w:val="0"/>
                <w:color w:val="auto"/>
                <w:sz w:val="21"/>
                <w:szCs w:val="21"/>
                <w:vertAlign w:val="baseline"/>
                <w:lang w:val="en-US" w:eastAsia="zh-CN"/>
              </w:rPr>
            </w:pPr>
            <w:r>
              <w:rPr>
                <w:rFonts w:hint="eastAsia" w:ascii="Times New Roman" w:hAnsi="Times New Roman" w:eastAsia="仿宋_GB2312" w:cs="仿宋_GB2312"/>
                <w:b w:val="0"/>
                <w:bCs w:val="0"/>
                <w:snapToGrid w:val="0"/>
                <w:color w:val="auto"/>
                <w:sz w:val="21"/>
                <w:szCs w:val="21"/>
              </w:rPr>
              <w:t>预定能由使用人员携带的</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highlight w:val="none"/>
              </w:rPr>
              <w:t>由</w:t>
            </w:r>
            <w:r>
              <w:rPr>
                <w:rFonts w:hint="eastAsia" w:ascii="Times New Roman" w:hAnsi="Times New Roman" w:eastAsia="仿宋_GB2312" w:cs="仿宋_GB2312"/>
                <w:b w:val="0"/>
                <w:bCs w:val="0"/>
                <w:snapToGrid w:val="0"/>
                <w:color w:val="auto"/>
                <w:sz w:val="21"/>
                <w:szCs w:val="21"/>
                <w:highlight w:val="none"/>
                <w:lang w:eastAsia="zh-CN"/>
              </w:rPr>
              <w:t>锂离子</w:t>
            </w:r>
            <w:r>
              <w:rPr>
                <w:rFonts w:hint="eastAsia" w:ascii="Times New Roman" w:hAnsi="Times New Roman" w:eastAsia="仿宋_GB2312" w:cs="仿宋_GB2312"/>
                <w:b w:val="0"/>
                <w:bCs w:val="0"/>
                <w:snapToGrid w:val="0"/>
                <w:color w:val="auto"/>
                <w:sz w:val="21"/>
                <w:szCs w:val="21"/>
                <w:highlight w:val="none"/>
              </w:rPr>
              <w:t>电池或电池组、相应的电路及外</w:t>
            </w:r>
            <w:r>
              <w:rPr>
                <w:rFonts w:hint="eastAsia" w:ascii="Times New Roman" w:hAnsi="Times New Roman" w:eastAsia="仿宋_GB2312" w:cs="仿宋_GB2312"/>
                <w:b w:val="0"/>
                <w:bCs w:val="0"/>
                <w:snapToGrid w:val="0"/>
                <w:color w:val="auto"/>
                <w:sz w:val="21"/>
                <w:szCs w:val="21"/>
              </w:rPr>
              <w:t>壳组成</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rPr>
              <w:t>能提供稳定直流和/或交流输出</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rPr>
              <w:t>且质量不超过18kg</w:t>
            </w:r>
            <w:r>
              <w:rPr>
                <w:rFonts w:hint="eastAsia" w:ascii="Times New Roman" w:hAnsi="Times New Roman" w:eastAsia="仿宋_GB2312" w:cs="仿宋_GB2312"/>
                <w:b w:val="0"/>
                <w:bCs w:val="0"/>
                <w:snapToGrid w:val="0"/>
                <w:color w:val="auto"/>
                <w:sz w:val="21"/>
                <w:szCs w:val="21"/>
                <w:lang w:eastAsia="zh-CN"/>
              </w:rPr>
              <w:t>、所含电池的额定容量总和大于600mAh</w:t>
            </w:r>
            <w:r>
              <w:rPr>
                <w:rFonts w:hint="eastAsia" w:ascii="Times New Roman" w:hAnsi="Times New Roman" w:eastAsia="仿宋_GB2312" w:cs="仿宋_GB2312"/>
                <w:b w:val="0"/>
                <w:bCs w:val="0"/>
                <w:snapToGrid w:val="0"/>
                <w:color w:val="auto"/>
                <w:sz w:val="21"/>
                <w:szCs w:val="21"/>
              </w:rPr>
              <w:t>的电源系统。</w:t>
            </w:r>
          </w:p>
        </w:tc>
        <w:tc>
          <w:tcPr>
            <w:tcW w:w="2400" w:type="dxa"/>
            <w:noWrap w:val="0"/>
            <w:vAlign w:val="center"/>
          </w:tcPr>
          <w:p w14:paraId="085019E2">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rPr>
              <w:t>移动电源</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rPr>
              <w:t>0914</w:t>
            </w:r>
            <w:r>
              <w:rPr>
                <w:rFonts w:hint="eastAsia" w:ascii="Times New Roman" w:hAnsi="Times New Roman" w:eastAsia="仿宋_GB2312" w:cs="仿宋_GB2312"/>
                <w:b w:val="0"/>
                <w:bCs w:val="0"/>
                <w:snapToGrid w:val="0"/>
                <w:color w:val="auto"/>
                <w:sz w:val="21"/>
                <w:szCs w:val="21"/>
                <w:lang w:eastAsia="zh-CN"/>
              </w:rPr>
              <w:t>）</w:t>
            </w:r>
          </w:p>
        </w:tc>
        <w:tc>
          <w:tcPr>
            <w:tcW w:w="3075" w:type="dxa"/>
            <w:noWrap w:val="0"/>
            <w:vAlign w:val="center"/>
          </w:tcPr>
          <w:p w14:paraId="0798B028">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rPr>
              <w:t>充电宝、便携式储能电源、露营用移动电源等</w:t>
            </w:r>
            <w:r>
              <w:rPr>
                <w:rFonts w:hint="eastAsia" w:ascii="Times New Roman" w:hAnsi="Times New Roman" w:eastAsia="仿宋_GB2312" w:cs="仿宋_GB2312"/>
                <w:b w:val="0"/>
                <w:bCs w:val="0"/>
                <w:snapToGrid w:val="0"/>
                <w:color w:val="auto"/>
                <w:sz w:val="21"/>
                <w:szCs w:val="21"/>
                <w:lang w:eastAsia="zh-CN"/>
              </w:rPr>
              <w:t>。</w:t>
            </w:r>
          </w:p>
        </w:tc>
        <w:tc>
          <w:tcPr>
            <w:tcW w:w="2107" w:type="dxa"/>
            <w:noWrap w:val="0"/>
            <w:vAlign w:val="center"/>
          </w:tcPr>
          <w:p w14:paraId="12E26FB3">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rPr>
            </w:pPr>
            <w:r>
              <w:rPr>
                <w:rFonts w:hint="eastAsia" w:ascii="Times New Roman" w:hAnsi="Times New Roman" w:eastAsia="仿宋_GB2312" w:cs="仿宋_GB2312"/>
                <w:b w:val="0"/>
                <w:bCs w:val="0"/>
                <w:snapToGrid w:val="0"/>
                <w:color w:val="auto"/>
                <w:sz w:val="21"/>
                <w:szCs w:val="21"/>
              </w:rPr>
              <w:t>适用标准：</w:t>
            </w:r>
          </w:p>
          <w:p w14:paraId="11654384">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rPr>
            </w:pPr>
            <w:r>
              <w:rPr>
                <w:rFonts w:hint="eastAsia" w:ascii="Times New Roman" w:hAnsi="Times New Roman" w:eastAsia="仿宋_GB2312" w:cs="仿宋_GB2312"/>
                <w:b w:val="0"/>
                <w:bCs w:val="0"/>
                <w:snapToGrid w:val="0"/>
                <w:color w:val="auto"/>
                <w:sz w:val="21"/>
                <w:szCs w:val="21"/>
              </w:rPr>
              <w:t>GB</w:t>
            </w:r>
            <w:r>
              <w:rPr>
                <w:rFonts w:hint="eastAsia" w:ascii="Times New Roman" w:hAnsi="Times New Roman" w:eastAsia="仿宋_GB2312" w:cs="仿宋_GB2312"/>
                <w:b w:val="0"/>
                <w:bCs w:val="0"/>
                <w:snapToGrid w:val="0"/>
                <w:color w:val="auto"/>
                <w:sz w:val="21"/>
                <w:szCs w:val="21"/>
                <w:lang w:val="en-US" w:eastAsia="zh-CN"/>
              </w:rPr>
              <w:t xml:space="preserve"> </w:t>
            </w:r>
            <w:r>
              <w:rPr>
                <w:rFonts w:hint="eastAsia" w:ascii="Times New Roman" w:hAnsi="Times New Roman" w:eastAsia="仿宋_GB2312" w:cs="仿宋_GB2312"/>
                <w:b w:val="0"/>
                <w:bCs w:val="0"/>
                <w:snapToGrid w:val="0"/>
                <w:color w:val="auto"/>
                <w:sz w:val="21"/>
                <w:szCs w:val="21"/>
              </w:rPr>
              <w:t>4943.1</w:t>
            </w:r>
          </w:p>
          <w:p w14:paraId="55CADD2E">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rPr>
              <w:t>GB</w:t>
            </w:r>
            <w:r>
              <w:rPr>
                <w:rFonts w:hint="eastAsia" w:ascii="Times New Roman" w:hAnsi="Times New Roman" w:eastAsia="仿宋_GB2312" w:cs="仿宋_GB2312"/>
                <w:b w:val="0"/>
                <w:bCs w:val="0"/>
                <w:snapToGrid w:val="0"/>
                <w:color w:val="auto"/>
                <w:sz w:val="21"/>
                <w:szCs w:val="21"/>
                <w:lang w:val="en-US" w:eastAsia="zh-CN"/>
              </w:rPr>
              <w:t xml:space="preserve"> </w:t>
            </w:r>
            <w:r>
              <w:rPr>
                <w:rFonts w:hint="eastAsia" w:ascii="Times New Roman" w:hAnsi="Times New Roman" w:eastAsia="仿宋_GB2312" w:cs="仿宋_GB2312"/>
                <w:b w:val="0"/>
                <w:bCs w:val="0"/>
                <w:snapToGrid w:val="0"/>
                <w:color w:val="auto"/>
                <w:sz w:val="21"/>
                <w:szCs w:val="21"/>
              </w:rPr>
              <w:t>31241</w:t>
            </w:r>
          </w:p>
          <w:p w14:paraId="5717698C">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GB 47372</w:t>
            </w:r>
          </w:p>
        </w:tc>
      </w:tr>
      <w:tr w14:paraId="5DAD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1907" w:type="dxa"/>
            <w:vMerge w:val="restart"/>
            <w:noWrap w:val="0"/>
            <w:vAlign w:val="center"/>
          </w:tcPr>
          <w:p w14:paraId="2F8AA407">
            <w:pPr>
              <w:numPr>
                <w:ilvl w:val="0"/>
                <w:numId w:val="0"/>
              </w:numPr>
              <w:topLinePunct w:val="0"/>
              <w:spacing w:line="360" w:lineRule="exact"/>
              <w:jc w:val="center"/>
              <w:rPr>
                <w:rFonts w:hint="eastAsia" w:ascii="Times New Roman" w:hAnsi="Times New Roman" w:eastAsia="仿宋_GB2312" w:cs="仿宋_GB2312"/>
                <w:b w:val="0"/>
                <w:bCs w:val="0"/>
                <w:snapToGrid w:val="0"/>
                <w:color w:val="auto"/>
                <w:kern w:val="2"/>
                <w:sz w:val="21"/>
                <w:szCs w:val="21"/>
                <w:lang w:val="en-US" w:eastAsia="zh-CN" w:bidi="ar-SA"/>
              </w:rPr>
            </w:pPr>
            <w:r>
              <w:rPr>
                <w:rFonts w:hint="eastAsia" w:ascii="Times New Roman" w:hAnsi="Times New Roman" w:eastAsia="仿宋_GB2312" w:cs="仿宋_GB2312"/>
                <w:b w:val="0"/>
                <w:bCs w:val="0"/>
                <w:snapToGrid w:val="0"/>
                <w:color w:val="auto"/>
                <w:sz w:val="21"/>
                <w:szCs w:val="21"/>
              </w:rPr>
              <w:t>锂离子电池和电池组（0915</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lang w:val="en-US" w:eastAsia="zh-CN"/>
              </w:rPr>
              <w:t>0916</w:t>
            </w:r>
            <w:r>
              <w:rPr>
                <w:rFonts w:hint="eastAsia" w:ascii="Times New Roman" w:hAnsi="Times New Roman" w:eastAsia="仿宋_GB2312" w:cs="仿宋_GB2312"/>
                <w:b w:val="0"/>
                <w:bCs w:val="0"/>
                <w:snapToGrid w:val="0"/>
                <w:color w:val="auto"/>
                <w:sz w:val="21"/>
                <w:szCs w:val="21"/>
              </w:rPr>
              <w:t>）</w:t>
            </w:r>
          </w:p>
        </w:tc>
        <w:tc>
          <w:tcPr>
            <w:tcW w:w="3693" w:type="dxa"/>
            <w:vMerge w:val="restart"/>
            <w:noWrap w:val="0"/>
            <w:vAlign w:val="center"/>
          </w:tcPr>
          <w:p w14:paraId="13EC922A">
            <w:pPr>
              <w:numPr>
                <w:ilvl w:val="0"/>
                <w:numId w:val="0"/>
              </w:numPr>
              <w:topLinePunct w:val="0"/>
              <w:spacing w:line="360" w:lineRule="exact"/>
              <w:jc w:val="both"/>
              <w:rPr>
                <w:rFonts w:hint="eastAsia" w:ascii="Times New Roman" w:hAnsi="Times New Roman" w:eastAsia="仿宋_GB2312" w:cs="仿宋_GB2312"/>
                <w:b w:val="0"/>
                <w:bCs w:val="0"/>
                <w:snapToGrid w:val="0"/>
                <w:color w:val="auto"/>
                <w:kern w:val="2"/>
                <w:sz w:val="21"/>
                <w:szCs w:val="21"/>
                <w:lang w:val="en-US" w:eastAsia="zh-CN" w:bidi="ar-SA"/>
              </w:rPr>
            </w:pPr>
            <w:r>
              <w:rPr>
                <w:rFonts w:hint="eastAsia" w:ascii="Times New Roman" w:hAnsi="Times New Roman" w:eastAsia="仿宋_GB2312" w:cs="仿宋_GB2312"/>
                <w:b w:val="0"/>
                <w:bCs w:val="0"/>
                <w:snapToGrid w:val="0"/>
                <w:color w:val="auto"/>
                <w:sz w:val="21"/>
                <w:szCs w:val="21"/>
              </w:rPr>
              <w:t>依靠锂</w:t>
            </w:r>
            <w:r>
              <w:rPr>
                <w:rFonts w:hint="eastAsia" w:ascii="Times New Roman" w:hAnsi="Times New Roman" w:eastAsia="仿宋_GB2312" w:cs="仿宋_GB2312"/>
                <w:b w:val="0"/>
                <w:bCs w:val="0"/>
                <w:snapToGrid w:val="0"/>
                <w:color w:val="auto"/>
                <w:sz w:val="21"/>
                <w:szCs w:val="21"/>
                <w:lang w:val="en-US" w:eastAsia="zh-CN"/>
              </w:rPr>
              <w:t>离子</w:t>
            </w:r>
            <w:r>
              <w:rPr>
                <w:rFonts w:hint="eastAsia" w:ascii="Times New Roman" w:hAnsi="Times New Roman" w:eastAsia="仿宋_GB2312" w:cs="仿宋_GB2312"/>
                <w:b w:val="0"/>
                <w:bCs w:val="0"/>
                <w:snapToGrid w:val="0"/>
                <w:color w:val="auto"/>
                <w:sz w:val="21"/>
                <w:szCs w:val="21"/>
              </w:rPr>
              <w:t>在正极和负极之间移动实现化学能与电能互相转化的装置，并被设计成可充电</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rPr>
              <w:t>包含有保护电路的任意数量的锂离子电池组合而成准备使用的组合体。</w:t>
            </w:r>
          </w:p>
        </w:tc>
        <w:tc>
          <w:tcPr>
            <w:tcW w:w="2400" w:type="dxa"/>
            <w:noWrap w:val="0"/>
            <w:vAlign w:val="center"/>
          </w:tcPr>
          <w:p w14:paraId="0BBE4288">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rPr>
              <w:t>便携式电子产品用锂离子电池和电池组</w:t>
            </w:r>
            <w:r>
              <w:rPr>
                <w:rFonts w:hint="eastAsia" w:ascii="Times New Roman" w:hAnsi="Times New Roman" w:eastAsia="仿宋_GB2312" w:cs="仿宋_GB2312"/>
                <w:b w:val="0"/>
                <w:bCs w:val="0"/>
                <w:snapToGrid w:val="0"/>
                <w:color w:val="auto"/>
                <w:sz w:val="21"/>
                <w:szCs w:val="21"/>
                <w:lang w:eastAsia="zh-CN"/>
              </w:rPr>
              <w:t>（</w:t>
            </w:r>
            <w:r>
              <w:rPr>
                <w:rFonts w:hint="eastAsia" w:ascii="Times New Roman" w:hAnsi="Times New Roman" w:eastAsia="仿宋_GB2312" w:cs="仿宋_GB2312"/>
                <w:b w:val="0"/>
                <w:bCs w:val="0"/>
                <w:snapToGrid w:val="0"/>
                <w:color w:val="auto"/>
                <w:sz w:val="21"/>
                <w:szCs w:val="21"/>
                <w:lang w:val="en-US" w:eastAsia="zh-CN"/>
              </w:rPr>
              <w:t>0915</w:t>
            </w:r>
            <w:r>
              <w:rPr>
                <w:rFonts w:hint="eastAsia" w:ascii="Times New Roman" w:hAnsi="Times New Roman" w:eastAsia="仿宋_GB2312" w:cs="仿宋_GB2312"/>
                <w:b w:val="0"/>
                <w:bCs w:val="0"/>
                <w:snapToGrid w:val="0"/>
                <w:color w:val="auto"/>
                <w:sz w:val="21"/>
                <w:szCs w:val="21"/>
                <w:lang w:eastAsia="zh-CN"/>
              </w:rPr>
              <w:t>）</w:t>
            </w:r>
          </w:p>
        </w:tc>
        <w:tc>
          <w:tcPr>
            <w:tcW w:w="3075" w:type="dxa"/>
            <w:noWrap w:val="0"/>
            <w:vAlign w:val="center"/>
          </w:tcPr>
          <w:p w14:paraId="0FFB496A">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便携式办公产品、移动通信产品、便携式音/视频产品等便携式电子产品用锂离子电池和电池组。</w:t>
            </w:r>
          </w:p>
        </w:tc>
        <w:tc>
          <w:tcPr>
            <w:tcW w:w="2107" w:type="dxa"/>
            <w:noWrap w:val="0"/>
            <w:vAlign w:val="center"/>
          </w:tcPr>
          <w:p w14:paraId="21D29AB6">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1. 适用标准：</w:t>
            </w:r>
          </w:p>
          <w:p w14:paraId="7590EB59">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GB 31241</w:t>
            </w:r>
          </w:p>
          <w:p w14:paraId="11C8F393">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2. 不包括电子烟用锂离子电池和电池组。</w:t>
            </w:r>
          </w:p>
        </w:tc>
      </w:tr>
      <w:tr w14:paraId="5844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1907" w:type="dxa"/>
            <w:vMerge w:val="continue"/>
            <w:noWrap w:val="0"/>
            <w:vAlign w:val="top"/>
          </w:tcPr>
          <w:p w14:paraId="7A5ECF0E">
            <w:pPr>
              <w:numPr>
                <w:ilvl w:val="0"/>
                <w:numId w:val="0"/>
              </w:numPr>
              <w:topLinePunct w:val="0"/>
              <w:spacing w:line="360" w:lineRule="exact"/>
              <w:ind w:left="0" w:leftChars="0" w:firstLine="0" w:firstLineChars="0"/>
              <w:jc w:val="both"/>
              <w:rPr>
                <w:rFonts w:hint="eastAsia" w:ascii="Times New Roman" w:hAnsi="Times New Roman" w:eastAsia="仿宋_GB2312" w:cs="仿宋_GB2312"/>
                <w:b w:val="0"/>
                <w:bCs w:val="0"/>
                <w:snapToGrid w:val="0"/>
                <w:color w:val="auto"/>
                <w:kern w:val="2"/>
                <w:sz w:val="21"/>
                <w:szCs w:val="21"/>
                <w:lang w:val="en-US" w:eastAsia="zh-CN" w:bidi="ar-SA"/>
              </w:rPr>
            </w:pPr>
          </w:p>
        </w:tc>
        <w:tc>
          <w:tcPr>
            <w:tcW w:w="3693" w:type="dxa"/>
            <w:vMerge w:val="continue"/>
            <w:noWrap w:val="0"/>
            <w:vAlign w:val="center"/>
          </w:tcPr>
          <w:p w14:paraId="0760248C">
            <w:pPr>
              <w:numPr>
                <w:ilvl w:val="0"/>
                <w:numId w:val="0"/>
              </w:numPr>
              <w:topLinePunct w:val="0"/>
              <w:spacing w:line="360" w:lineRule="exact"/>
              <w:ind w:left="0" w:leftChars="0" w:firstLine="0" w:firstLineChars="0"/>
              <w:jc w:val="both"/>
              <w:rPr>
                <w:rFonts w:hint="eastAsia" w:ascii="Times New Roman" w:hAnsi="Times New Roman" w:eastAsia="仿宋_GB2312" w:cs="仿宋_GB2312"/>
                <w:b w:val="0"/>
                <w:bCs w:val="0"/>
                <w:snapToGrid w:val="0"/>
                <w:color w:val="auto"/>
                <w:kern w:val="2"/>
                <w:sz w:val="21"/>
                <w:szCs w:val="21"/>
                <w:lang w:val="en-US" w:eastAsia="zh-CN" w:bidi="ar-SA"/>
              </w:rPr>
            </w:pPr>
          </w:p>
        </w:tc>
        <w:tc>
          <w:tcPr>
            <w:tcW w:w="2400" w:type="dxa"/>
            <w:noWrap w:val="0"/>
            <w:vAlign w:val="center"/>
          </w:tcPr>
          <w:p w14:paraId="69A4F350">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移动电源用</w:t>
            </w:r>
            <w:r>
              <w:rPr>
                <w:rFonts w:hint="eastAsia" w:ascii="Times New Roman" w:hAnsi="Times New Roman" w:eastAsia="仿宋_GB2312" w:cs="仿宋_GB2312"/>
                <w:b w:val="0"/>
                <w:bCs w:val="0"/>
                <w:snapToGrid w:val="0"/>
                <w:color w:val="auto"/>
                <w:sz w:val="21"/>
                <w:szCs w:val="21"/>
              </w:rPr>
              <w:t>锂离子电池</w:t>
            </w:r>
            <w:r>
              <w:rPr>
                <w:rFonts w:hint="eastAsia" w:ascii="Times New Roman" w:hAnsi="Times New Roman" w:eastAsia="仿宋_GB2312" w:cs="仿宋_GB2312"/>
                <w:b w:val="0"/>
                <w:bCs w:val="0"/>
                <w:snapToGrid w:val="0"/>
                <w:color w:val="auto"/>
                <w:sz w:val="21"/>
                <w:szCs w:val="21"/>
                <w:lang w:val="en-US" w:eastAsia="zh-CN"/>
              </w:rPr>
              <w:t>和电池组（0916）</w:t>
            </w:r>
          </w:p>
        </w:tc>
        <w:tc>
          <w:tcPr>
            <w:tcW w:w="3075" w:type="dxa"/>
            <w:noWrap w:val="0"/>
            <w:vAlign w:val="center"/>
          </w:tcPr>
          <w:p w14:paraId="62FA6156">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充电宝、便携式储能电源、露营用移动电源等产品用锂离子电池和电池组。</w:t>
            </w:r>
          </w:p>
        </w:tc>
        <w:tc>
          <w:tcPr>
            <w:tcW w:w="2107" w:type="dxa"/>
            <w:noWrap w:val="0"/>
            <w:vAlign w:val="center"/>
          </w:tcPr>
          <w:p w14:paraId="5AA5D7F7">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适用标准：</w:t>
            </w:r>
          </w:p>
          <w:p w14:paraId="1ED1B7E3">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GB 31241</w:t>
            </w:r>
          </w:p>
          <w:p w14:paraId="47D41F36">
            <w:pPr>
              <w:numPr>
                <w:ilvl w:val="0"/>
                <w:numId w:val="0"/>
              </w:numPr>
              <w:topLinePunct w:val="0"/>
              <w:spacing w:line="360" w:lineRule="exact"/>
              <w:jc w:val="both"/>
              <w:rPr>
                <w:rFonts w:hint="eastAsia" w:ascii="Times New Roman" w:hAnsi="Times New Roman" w:eastAsia="仿宋_GB2312" w:cs="仿宋_GB2312"/>
                <w:b w:val="0"/>
                <w:bCs w:val="0"/>
                <w:snapToGrid w:val="0"/>
                <w:color w:val="auto"/>
                <w:sz w:val="21"/>
                <w:szCs w:val="21"/>
                <w:lang w:val="en-US" w:eastAsia="zh-CN"/>
              </w:rPr>
            </w:pPr>
            <w:r>
              <w:rPr>
                <w:rFonts w:hint="eastAsia" w:ascii="Times New Roman" w:hAnsi="Times New Roman" w:eastAsia="仿宋_GB2312" w:cs="仿宋_GB2312"/>
                <w:b w:val="0"/>
                <w:bCs w:val="0"/>
                <w:snapToGrid w:val="0"/>
                <w:color w:val="auto"/>
                <w:sz w:val="21"/>
                <w:szCs w:val="21"/>
                <w:lang w:val="en-US" w:eastAsia="zh-CN"/>
              </w:rPr>
              <w:t>GB 47372</w:t>
            </w:r>
          </w:p>
        </w:tc>
      </w:tr>
    </w:tbl>
    <w:p w14:paraId="44C0C6C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8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adjustRightInd w:val="0"/>
      <w:jc w:val="both"/>
    </w:pPr>
    <w:rPr>
      <w:rFonts w:hint="eastAsia" w:ascii="Times New Roman" w:hAnsi="Times New Roman" w:eastAsia="仿宋_GB2312" w:cs="Times New Roman"/>
      <w:spacing w:val="0"/>
      <w:kern w:val="2"/>
      <w:sz w:val="32"/>
      <w:szCs w:val="3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2026-05-29T07:44:25Z</dcterms:created>
  <dc:creator>Administrator</dc:creator>
  <cp:lastModifiedBy>^_^</cp:lastModifiedBy>
  <dcterms:modified xsi:type="dcterms:W3CDTF">2026-05-29T07:44:39Z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eyJoZGlkIjoiNWVjYWE5OTcxNTgyYjAzYzU3ODhiODZmZjBlZDVhMTYiLCJ1c2VySWQiOiIxMjIxODc1Nzk1In0=</vt:lpwstr>
  </property>
  <property fmtid="{D5CDD505-2E9C-101B-9397-08002B2CF9AE}" pid="4" name="ICV">
    <vt:lpwstr>5A117E4A9AAD4928BD7CE69F8B273A0D_12</vt:lpwstr>
  </property>
</Properties>
</file>