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6E94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32033B9D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2AC8755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市场监管总局关于进一步推进</w:t>
      </w:r>
    </w:p>
    <w:p w14:paraId="3F18F90F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内外贸产品“同线同标同质”工作的公告</w:t>
      </w:r>
    </w:p>
    <w:p w14:paraId="0F651D01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（征求意见稿）</w:t>
      </w:r>
    </w:p>
    <w:p w14:paraId="6E593B9B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C2C0E96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积极落实党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国务院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内外贸一体化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发展以及新形势下提振消费的战略部署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加快运用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内外贸产品“同线同标同质”（以下简称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“三同”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助力企业开拓国内市场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现就有关落实举措公告如下：</w:t>
      </w:r>
    </w:p>
    <w:p w14:paraId="4C8ABD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积极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鼓励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“三同”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产品</w:t>
      </w:r>
    </w:p>
    <w:p w14:paraId="07F5E892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企业可依据国内外相关标准，自主评估其产品是否符合“三同”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条件。对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的产品，可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“三同”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符合性声明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（特殊食品除外）。企业应确保其“三同”产品信息真实、准确。</w:t>
      </w:r>
    </w:p>
    <w:p w14:paraId="2CF56F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二、加大对“三同”企业技术帮扶力度</w:t>
      </w:r>
    </w:p>
    <w:p w14:paraId="3A99E16A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认证机构要进一步发挥专业优势，开展国内外标准差异分析，主动帮助有意愿的企业识别技术指标、检测方法等核心差异，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建立对标改进方案等方式助力“三同”企业降本增效。</w:t>
      </w:r>
    </w:p>
    <w:p w14:paraId="07C70C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加强对“三同”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企业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政策扶持</w:t>
      </w:r>
    </w:p>
    <w:p w14:paraId="75ADFC91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各级市场监管部门要加强对“三同”政策的解读和宣传，提高企业对“三同”工作的认知度；动态掌握本辖区“三同”企业及产品数量，积极协调企业参与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关部门组织的产销对接活动；督促企业落实主体责任，维护市场秩序。</w:t>
      </w:r>
    </w:p>
    <w:p w14:paraId="70988FAF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A732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2347D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EB28A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市场监管总局      </w:t>
      </w:r>
    </w:p>
    <w:p w14:paraId="7908F740"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月 日  </w:t>
      </w:r>
    </w:p>
    <w:p w14:paraId="13EAF401"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FBD3C7F"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C800E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AF2807"/>
    <w:rsid w:val="0A724DF3"/>
    <w:rsid w:val="3E79F481"/>
    <w:rsid w:val="42F54F8A"/>
    <w:rsid w:val="5EF0D99F"/>
    <w:rsid w:val="6AFC67D6"/>
    <w:rsid w:val="7C593123"/>
    <w:rsid w:val="BB1B4E47"/>
    <w:rsid w:val="CF3FD236"/>
    <w:rsid w:val="DDFBD079"/>
    <w:rsid w:val="DFF61972"/>
    <w:rsid w:val="E5AF2807"/>
    <w:rsid w:val="EF9D4726"/>
    <w:rsid w:val="F9751299"/>
    <w:rsid w:val="FBDF4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456</Characters>
  <Lines>0</Lines>
  <Paragraphs>0</Paragraphs>
  <TotalTime>3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2025-05-28T17:48:00Z</dcterms:created>
  <dc:creator>郑林莹</dc:creator>
  <cp:lastModifiedBy>风雨归路</cp:lastModifiedBy>
  <dcterms:modified xsi:type="dcterms:W3CDTF">2025-08-12T02:43:37Z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AAC7FC7AEC4140798CF697D6B0A5F3CF_13</vt:lpwstr>
  </property>
  <property fmtid="{D5CDD505-2E9C-101B-9397-08002B2CF9AE}" pid="4" name="KSOTemplateDocerSaveRecord">
    <vt:lpwstr>eyJoZGlkIjoiNDE0ZDUwNTQ2MmM4YjE4YzRjZTU1NTBhYTEwODdhOWEiLCJ1c2VySWQiOiI3NDA2NDE5ODIifQ==</vt:lpwstr>
  </property>
</Properties>
</file>