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平顶山市自助售药（械）机管理规定（试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行）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2640" w:firstLineChars="60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（征求意见稿）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第一条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为了满足广大人民群众24小时用药（械）需求，加强自助售药（械）机管理，防范药品和医疗器械安全风险，根据《国务院办公厅关于推动实体零售创新转型的意见》（国办发〔2016〕78号）的要求，依据《药品管理法》《医疗器械监督管理条例》《药品经营和使用质量监督管理办法》《医疗器械经营监督管理办法》《国家药监局关于进一步做好药品经营监督管理有关工作的公告》（2024年第48号）《药品经营质量管理规范》《医疗器械经营质量管理规范》的有关规定，结合本市实际，制定本规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第二条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　平顶山市行政区域内设置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机及相关监督管理活动，适用本规定。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　本规定所指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机为离店设置的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第四条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平顶山市行政区域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内注册登记，并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依法取得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发证机关为“平顶山市市场监督管理局”的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《药品经营许可证》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药品零售企业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，可以申请在经营地址以外的24小时便利店、宾馆、车站、商业区、大型小区等人员密集场所设置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销售乙类非处方药。自助售药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机的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设置数量应与药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零售企业管理能力相适应。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企业需要利用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销售医疗器械的，还应当取得经营方式为“零售”的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《医疗器械经营许可证》或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《第二类医疗器械经营备案凭证》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　各县（市、区）市场监督管理局、分局负责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各自监管区域内设置的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日常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监督管理工作。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设置地点不应超出药械零售企业的日常监督管理机构所监管的区域。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药械零售企业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设置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机应当符合以下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条件和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要求：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）自助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机应符合《药品经营质量管理规范》《医疗器械经营质量管理规范》的要求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设置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机的区域应符合所在地城市管理等相关部门的管理要求，兼顾当地常住人口数量、地域、交通状况等，遵循方便群众的原则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）自助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能销售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乙类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非处方药品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发证机关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许可（备案）范围内的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药品和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医疗器械。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机不能销售国家禁止零售的药品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处方药品、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甲类非处方药、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有特殊储存要求的药品、有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特殊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管理要求的药品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和发证机关许可（备案）范围外的药品和医疗器械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药械零售企业质量管理体系应当覆盖自助售药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零售企业负责对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机进行统一管理，对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机的药品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和医疗器械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质量和安全承担主体责任。具有保证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通过自助售药（械）机销售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药品、医疗器械质量和安全的规章制度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和人员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管理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机的人员应当是药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零售企业的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执业药师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或者其他药学技术人员。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机销售的药品、医疗器械应当由药械零售企业统一采购配送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）自助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机放置的场所应当清洁卫生，应当避免阳光直射、雨淋等，并具备保证陈列药品、医疗器械质量的相应条件和措施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不得将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机与有毒、有污染的物质设置在同一场所内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（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eastAsia="仿宋_GB2312"/>
          <w:kern w:val="0"/>
          <w:sz w:val="32"/>
          <w:szCs w:val="32"/>
          <w:highlight w:val="none"/>
        </w:rPr>
        <w:t>）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自助售药（械）机</w:t>
      </w:r>
      <w:r>
        <w:rPr>
          <w:rFonts w:hint="eastAsia" w:eastAsia="仿宋_GB2312"/>
          <w:kern w:val="0"/>
          <w:sz w:val="32"/>
          <w:szCs w:val="32"/>
          <w:highlight w:val="none"/>
        </w:rPr>
        <w:t>内的陈列环境应当满足所经营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药品和医疗器械的</w:t>
      </w:r>
      <w:r>
        <w:rPr>
          <w:rFonts w:eastAsia="仿宋_GB2312"/>
          <w:kern w:val="0"/>
          <w:sz w:val="32"/>
          <w:szCs w:val="32"/>
          <w:highlight w:val="none"/>
        </w:rPr>
        <w:t>贮存要求</w:t>
      </w:r>
      <w:r>
        <w:rPr>
          <w:rFonts w:hint="eastAsia" w:eastAsia="仿宋_GB2312"/>
          <w:kern w:val="0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温湿度监测做到真实、完整、准确和可追溯。外用、内服药相对分开，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药品与医疗器械相对分开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。药械零售企业应记录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机销售服务过程中的陈列、养护、销售等情况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；</w:t>
      </w:r>
    </w:p>
    <w:p>
      <w:pPr>
        <w:spacing w:line="59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（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eastAsia="仿宋_GB2312"/>
          <w:kern w:val="0"/>
          <w:sz w:val="32"/>
          <w:szCs w:val="32"/>
          <w:highlight w:val="none"/>
        </w:rPr>
        <w:t>）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自助售药（械）机</w:t>
      </w:r>
      <w:r>
        <w:rPr>
          <w:rFonts w:hint="eastAsia" w:eastAsia="仿宋_GB2312"/>
          <w:kern w:val="0"/>
          <w:sz w:val="32"/>
          <w:szCs w:val="32"/>
          <w:highlight w:val="none"/>
        </w:rPr>
        <w:t>的贮存与出货、取货方式，应当有效防止所陈列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药品和医疗器械</w:t>
      </w:r>
      <w:r>
        <w:rPr>
          <w:rFonts w:hint="eastAsia" w:eastAsia="仿宋_GB2312"/>
          <w:kern w:val="0"/>
          <w:sz w:val="32"/>
          <w:szCs w:val="32"/>
          <w:highlight w:val="none"/>
        </w:rPr>
        <w:t>的污染及产品破损风险；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eastAsia="仿宋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自助售药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药品和医疗器械的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销售、更换、检查及有效期管理应当纳入药械零售企业计算机系统。药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零售企业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应当建立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机销售药品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和医疗器械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真实、完整、准确、可追溯的记录，并能够与药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零售企业计算机管理系统实时联网，确保销售可追溯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；</w:t>
      </w:r>
    </w:p>
    <w:p>
      <w:pPr>
        <w:spacing w:line="590" w:lineRule="exact"/>
        <w:ind w:firstLine="640" w:firstLineChars="200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（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eastAsia" w:eastAsia="仿宋_GB2312"/>
          <w:kern w:val="0"/>
          <w:sz w:val="32"/>
          <w:szCs w:val="32"/>
          <w:highlight w:val="none"/>
        </w:rPr>
        <w:t>）自助售药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（械）</w:t>
      </w:r>
      <w:r>
        <w:rPr>
          <w:rFonts w:hint="eastAsia" w:eastAsia="仿宋_GB2312"/>
          <w:kern w:val="0"/>
          <w:sz w:val="32"/>
          <w:szCs w:val="32"/>
          <w:highlight w:val="none"/>
        </w:rPr>
        <w:t>机应当具备开具符合规范要求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eastAsia" w:eastAsia="仿宋_GB2312"/>
          <w:kern w:val="0"/>
          <w:sz w:val="32"/>
          <w:szCs w:val="32"/>
          <w:highlight w:val="none"/>
        </w:rPr>
        <w:t>纸质或者电子销售凭据的功能；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）自助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机售出的药品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和医疗器械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，必须具有完整的包装、标签、说明书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不得拆零销售，不得缺少说明书销售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）在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机上发布广告应符合《广告法》《药品管理法》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医疗器械监督管理条例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等法律法规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机设置实行登记报告制度。药品零售企业设置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应当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原发证机关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报告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提交报告资料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。企业对报告材料的真实性、合法性负责。报告材料如下：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机设置报告表（见附件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机质量管理文件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）自助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有关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设施、设备目录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）拟设置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场所使用权证明；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机管理人员身份证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复印件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执业药师证复印件或者职称证书复印件、任职文件、岗位职责文件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）满足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机设置条件的证据材料：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机设置地点周边环境照片及防止日晒雨淋的措施说明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、自助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机与所属药械零售企业计算机系统对接情况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说明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、自助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机调控和监测内环境温湿度的情况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说明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、自助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机打印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药械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销售凭证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小票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样式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、自助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机在断电等特殊情况下的预案。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原发证机关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对报告资料进行复核，符合设置条件和要求的，及时给予登记，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发放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机登记表》（见附件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并编号，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编号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规则为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：药品经营许可证编号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+“（自）”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+四位阿拉伯数字的顺序号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顺序号从0001开始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编号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第九条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结合本市药品零售行业“一业一证、综合许可”改革实际情况。对于办理了《药品经营综合许可证》的企业设置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自助售药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，由发证机关在其《药品经营综合许可证》的“经营地址”一栏注明“自助售药（械）机详见明细表”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将该企业设置自助售药（械）机的主要信息（设置数量、登记编号、设置地址、登记日期等）加载到企业的《&lt;药品经营综合许可证&gt;经营范围明细表》中并在市局官方网站予以公示；对于仅办理了《药品经营许可证》而未办理《医疗器械经营许可证》或《第二类医疗器械经营备案凭证》的企业设置自助售药（械）机的，由发证机关在其《药品经营许可证》的“经营地址”一栏注明“自助售药（械）机详见官方网站”并在市局官方网站公示其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机登记表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第十条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 企业应当在自助售药（械）机显著位置悬挂或粘贴《自助售药（械）机登记表》复印件且采取必要措施保证其不易脱落损毁。《自助售药（械）机登记表》原件由企业妥善保管。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　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零售企业设置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情况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发生变动的（包括新增、减少、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变更等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），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应向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原发证机关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重新报告。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因企业的《药品经营许可证》、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《医疗器械经营许可证》或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《第二类医疗器械经营备案凭证》发生变更而致使《自助售药（械）机登记表》上的有关信息发生变更的，企业应向原发证机关重新报告。企业的《药品经营许可证》超期未延续、注销、吊销、撤销的，其所有《自助售药（械）机登记表》自动失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　日常监督管理机构应当将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（械）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机列入年度监督检查计划，加强日常监管，监督药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零售企业履行法定义务，受理并核查消费者投诉举报，依法查处违法违规行为。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十三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　本规定由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平顶山市市场监督管理局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负责解释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实施期间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上级部门另有规定的，从其规定。本规定自202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日起实施。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机设置报告表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自助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售药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机登记表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黑体" w:cs="仿宋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highlight w:val="none"/>
          <w:lang w:eastAsia="zh-CN"/>
        </w:rPr>
        <w:t>自助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售药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（械）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机设置报告表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 </w:t>
      </w:r>
    </w:p>
    <w:tbl>
      <w:tblPr>
        <w:tblStyle w:val="5"/>
        <w:tblW w:w="841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2296"/>
        <w:gridCol w:w="2442"/>
        <w:gridCol w:w="19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</w:trPr>
        <w:tc>
          <w:tcPr>
            <w:tcW w:w="17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零售企业名称</w:t>
            </w:r>
          </w:p>
        </w:tc>
        <w:tc>
          <w:tcPr>
            <w:tcW w:w="6717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17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零售企业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经营地址</w:t>
            </w:r>
          </w:p>
        </w:tc>
        <w:tc>
          <w:tcPr>
            <w:tcW w:w="6717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7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22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4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9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17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自助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售药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lang w:val="en-US" w:eastAsia="zh-CN"/>
              </w:rPr>
              <w:t>（械）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机管理人员</w:t>
            </w:r>
          </w:p>
        </w:tc>
        <w:tc>
          <w:tcPr>
            <w:tcW w:w="22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4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9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7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药品经营许可证编号</w:t>
            </w:r>
          </w:p>
        </w:tc>
        <w:tc>
          <w:tcPr>
            <w:tcW w:w="22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4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医疗器械经营许可证编号/备案凭证号（仅在销售医疗器械时填写）</w:t>
            </w:r>
          </w:p>
        </w:tc>
        <w:tc>
          <w:tcPr>
            <w:tcW w:w="197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</w:trPr>
        <w:tc>
          <w:tcPr>
            <w:tcW w:w="17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自助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售药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lang w:val="en-US" w:eastAsia="zh-CN"/>
              </w:rPr>
              <w:t>（械）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设置地址</w:t>
            </w:r>
          </w:p>
        </w:tc>
        <w:tc>
          <w:tcPr>
            <w:tcW w:w="6717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9" w:hRule="atLeast"/>
        </w:trPr>
        <w:tc>
          <w:tcPr>
            <w:tcW w:w="17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报告企业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6717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我公司报告设置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自助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售药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lang w:val="en-US" w:eastAsia="zh-CN"/>
              </w:rPr>
              <w:t>（械）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机的情况，并对所提交材料真实性负责。公司承诺将严格按照《药品管理法》《药品管理法实施条例》《医疗器械监督管理条例》等有关法律、法规和规章，依据《平顶山市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自助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售药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lang w:val="en-US" w:eastAsia="zh-CN"/>
              </w:rPr>
              <w:t>（械）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机管理规定（试行）》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要求，做好相关管理。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人：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                      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  月  日（公章）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4" w:hRule="atLeast"/>
        </w:trPr>
        <w:tc>
          <w:tcPr>
            <w:tcW w:w="170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</w:rPr>
              <w:t>登记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机关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6717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1680" w:firstLineChars="6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独任行政审批官：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                  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  月  日（公章）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760" w:firstLineChars="400"/>
        <w:jc w:val="left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highlight w:val="none"/>
          <w:lang w:eastAsia="zh-CN"/>
        </w:rPr>
        <w:t>自助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售药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（械）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highlight w:val="none"/>
          <w:lang w:eastAsia="zh-CN"/>
        </w:rPr>
        <w:t>机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登记表  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                                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登记编号：</w:t>
      </w:r>
    </w:p>
    <w:tbl>
      <w:tblPr>
        <w:tblStyle w:val="5"/>
        <w:tblW w:w="916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07"/>
        <w:gridCol w:w="57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药械零售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企业名称</w:t>
            </w:r>
          </w:p>
        </w:tc>
        <w:tc>
          <w:tcPr>
            <w:tcW w:w="5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5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  <w:jc w:val="center"/>
        </w:trPr>
        <w:tc>
          <w:tcPr>
            <w:tcW w:w="3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药械零售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经营地址</w:t>
            </w:r>
          </w:p>
        </w:tc>
        <w:tc>
          <w:tcPr>
            <w:tcW w:w="5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3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药品经营许可证编号</w:t>
            </w:r>
          </w:p>
        </w:tc>
        <w:tc>
          <w:tcPr>
            <w:tcW w:w="5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医疗器械经营许可证编号/备案凭证号（仅在销售医疗器械时填写）</w:t>
            </w:r>
          </w:p>
        </w:tc>
        <w:tc>
          <w:tcPr>
            <w:tcW w:w="5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3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自助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售药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lang w:val="en-US" w:eastAsia="zh-CN"/>
              </w:rPr>
              <w:t>（械）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机设置地址</w:t>
            </w:r>
          </w:p>
        </w:tc>
        <w:tc>
          <w:tcPr>
            <w:tcW w:w="5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eastAsia="zh-CN"/>
              </w:rPr>
              <w:t>自助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售药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lang w:val="en-US" w:eastAsia="zh-CN"/>
              </w:rPr>
              <w:t>（械）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机管理人员</w:t>
            </w:r>
          </w:p>
        </w:tc>
        <w:tc>
          <w:tcPr>
            <w:tcW w:w="5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药品经营范围</w:t>
            </w:r>
          </w:p>
        </w:tc>
        <w:tc>
          <w:tcPr>
            <w:tcW w:w="5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20" w:firstLineChars="1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医疗器械经营范围</w:t>
            </w:r>
          </w:p>
        </w:tc>
        <w:tc>
          <w:tcPr>
            <w:tcW w:w="5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服务电话</w:t>
            </w:r>
          </w:p>
        </w:tc>
        <w:tc>
          <w:tcPr>
            <w:tcW w:w="5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日常监督管理机构</w:t>
            </w:r>
          </w:p>
        </w:tc>
        <w:tc>
          <w:tcPr>
            <w:tcW w:w="5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投诉举报电话</w:t>
            </w:r>
          </w:p>
        </w:tc>
        <w:tc>
          <w:tcPr>
            <w:tcW w:w="5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12315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温馨提醒：“除药品质量原因外，药品一经售出，不得退换”，“未成年人应在监护人帮助指导下购买使用药品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和医疗器械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 xml:space="preserve">               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登记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机关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（公章）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                        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 xml:space="preserve">  登记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日期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：XXXX年XX月XX日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8E5420-985E-4DE7-BB9C-0CD33EFEA54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E6FBB57-394D-48E0-B998-41483E9D341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A16B1CE-7F31-4A58-B755-ACEEB2B425A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EB511DA-E0DE-45C9-9D69-884B09C829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ZTgyMDljMGNkOTBmYTY0ZDIzNmViZjljY2UxYzUifQ=="/>
  </w:docVars>
  <w:rsids>
    <w:rsidRoot w:val="0CC67F21"/>
    <w:rsid w:val="00A12741"/>
    <w:rsid w:val="019A3D07"/>
    <w:rsid w:val="023E02C5"/>
    <w:rsid w:val="025D05A0"/>
    <w:rsid w:val="03BE360A"/>
    <w:rsid w:val="03C6471B"/>
    <w:rsid w:val="054C28AE"/>
    <w:rsid w:val="05EC4C3F"/>
    <w:rsid w:val="07923863"/>
    <w:rsid w:val="079C5F2D"/>
    <w:rsid w:val="07B436A2"/>
    <w:rsid w:val="082476FC"/>
    <w:rsid w:val="08C32D1E"/>
    <w:rsid w:val="08F128CC"/>
    <w:rsid w:val="097035F9"/>
    <w:rsid w:val="098412D1"/>
    <w:rsid w:val="0BAA1044"/>
    <w:rsid w:val="0BBA5F4B"/>
    <w:rsid w:val="0C104C1F"/>
    <w:rsid w:val="0C28767C"/>
    <w:rsid w:val="0C882A07"/>
    <w:rsid w:val="0CC67F21"/>
    <w:rsid w:val="0DB729D1"/>
    <w:rsid w:val="0E447A32"/>
    <w:rsid w:val="0EA16A06"/>
    <w:rsid w:val="0F957915"/>
    <w:rsid w:val="104B091B"/>
    <w:rsid w:val="106410B1"/>
    <w:rsid w:val="124243B3"/>
    <w:rsid w:val="12541629"/>
    <w:rsid w:val="12F7655B"/>
    <w:rsid w:val="139347E4"/>
    <w:rsid w:val="180018F8"/>
    <w:rsid w:val="18FC0F9D"/>
    <w:rsid w:val="191F54EE"/>
    <w:rsid w:val="192A2B8B"/>
    <w:rsid w:val="19384B77"/>
    <w:rsid w:val="19D66DFB"/>
    <w:rsid w:val="1AE5773E"/>
    <w:rsid w:val="1C766D20"/>
    <w:rsid w:val="1D40726E"/>
    <w:rsid w:val="1DC93442"/>
    <w:rsid w:val="1DFE6FCD"/>
    <w:rsid w:val="1EBD19F9"/>
    <w:rsid w:val="1FBF278C"/>
    <w:rsid w:val="200E590D"/>
    <w:rsid w:val="20BB0BC7"/>
    <w:rsid w:val="2115671A"/>
    <w:rsid w:val="21703D3E"/>
    <w:rsid w:val="22AC720F"/>
    <w:rsid w:val="232A2FB9"/>
    <w:rsid w:val="23B15503"/>
    <w:rsid w:val="26054A05"/>
    <w:rsid w:val="29B019A3"/>
    <w:rsid w:val="2A8B1BE9"/>
    <w:rsid w:val="2AD757E4"/>
    <w:rsid w:val="2AD94755"/>
    <w:rsid w:val="2ADF135E"/>
    <w:rsid w:val="2BEC66B7"/>
    <w:rsid w:val="2C37112D"/>
    <w:rsid w:val="2D4F514F"/>
    <w:rsid w:val="2E1168A9"/>
    <w:rsid w:val="2EF52671"/>
    <w:rsid w:val="2F1228D8"/>
    <w:rsid w:val="2F8734F2"/>
    <w:rsid w:val="2F920D65"/>
    <w:rsid w:val="2FE66ADF"/>
    <w:rsid w:val="30A112E4"/>
    <w:rsid w:val="31295CB7"/>
    <w:rsid w:val="315A2315"/>
    <w:rsid w:val="31C0486E"/>
    <w:rsid w:val="33BF52E4"/>
    <w:rsid w:val="341D7D55"/>
    <w:rsid w:val="34A71E60"/>
    <w:rsid w:val="361E1B63"/>
    <w:rsid w:val="369E4A52"/>
    <w:rsid w:val="376C2064"/>
    <w:rsid w:val="37FA0F09"/>
    <w:rsid w:val="381C47C8"/>
    <w:rsid w:val="382C0743"/>
    <w:rsid w:val="38832151"/>
    <w:rsid w:val="39DE1298"/>
    <w:rsid w:val="3A371445"/>
    <w:rsid w:val="3ADE02F2"/>
    <w:rsid w:val="3B29323F"/>
    <w:rsid w:val="3B4757F2"/>
    <w:rsid w:val="3D251A29"/>
    <w:rsid w:val="3D4B6AC6"/>
    <w:rsid w:val="3DB958F8"/>
    <w:rsid w:val="3E053811"/>
    <w:rsid w:val="3EAA6689"/>
    <w:rsid w:val="3FAF3E70"/>
    <w:rsid w:val="40565800"/>
    <w:rsid w:val="40622AED"/>
    <w:rsid w:val="40953369"/>
    <w:rsid w:val="41504241"/>
    <w:rsid w:val="421D2FE8"/>
    <w:rsid w:val="4222383C"/>
    <w:rsid w:val="42BD6111"/>
    <w:rsid w:val="42EE0B0F"/>
    <w:rsid w:val="43544F2A"/>
    <w:rsid w:val="44613C8E"/>
    <w:rsid w:val="44676DCB"/>
    <w:rsid w:val="44E76F80"/>
    <w:rsid w:val="458C4D3B"/>
    <w:rsid w:val="45BA43CF"/>
    <w:rsid w:val="45C631E6"/>
    <w:rsid w:val="45E32240"/>
    <w:rsid w:val="464078D3"/>
    <w:rsid w:val="46B51F2C"/>
    <w:rsid w:val="477770F6"/>
    <w:rsid w:val="477D7E68"/>
    <w:rsid w:val="47A93BD6"/>
    <w:rsid w:val="47F461F4"/>
    <w:rsid w:val="48253716"/>
    <w:rsid w:val="48C71289"/>
    <w:rsid w:val="49E113CD"/>
    <w:rsid w:val="4AC76815"/>
    <w:rsid w:val="4AFB026D"/>
    <w:rsid w:val="4C5530E5"/>
    <w:rsid w:val="4D36558C"/>
    <w:rsid w:val="4DDD3C5A"/>
    <w:rsid w:val="4DE13C01"/>
    <w:rsid w:val="4E37780E"/>
    <w:rsid w:val="4EBB59E4"/>
    <w:rsid w:val="50BB4726"/>
    <w:rsid w:val="51AB50F9"/>
    <w:rsid w:val="52777E48"/>
    <w:rsid w:val="52A6094D"/>
    <w:rsid w:val="52CA5543"/>
    <w:rsid w:val="55B00597"/>
    <w:rsid w:val="55D122F6"/>
    <w:rsid w:val="56397E5C"/>
    <w:rsid w:val="572F61FC"/>
    <w:rsid w:val="593E307B"/>
    <w:rsid w:val="59897E96"/>
    <w:rsid w:val="598F6F23"/>
    <w:rsid w:val="59C962F5"/>
    <w:rsid w:val="59FD47F4"/>
    <w:rsid w:val="5A3D04C3"/>
    <w:rsid w:val="5B184523"/>
    <w:rsid w:val="5BA73777"/>
    <w:rsid w:val="5CD32DF8"/>
    <w:rsid w:val="5D417D61"/>
    <w:rsid w:val="5D9F0F2C"/>
    <w:rsid w:val="5E497B31"/>
    <w:rsid w:val="5E5C1C1F"/>
    <w:rsid w:val="5EFB3A53"/>
    <w:rsid w:val="5F1119B5"/>
    <w:rsid w:val="5F785423"/>
    <w:rsid w:val="5F98156A"/>
    <w:rsid w:val="5FE62E42"/>
    <w:rsid w:val="60373040"/>
    <w:rsid w:val="611063C8"/>
    <w:rsid w:val="61422A3D"/>
    <w:rsid w:val="616B1851"/>
    <w:rsid w:val="61A22D98"/>
    <w:rsid w:val="61E810F3"/>
    <w:rsid w:val="61F90AB1"/>
    <w:rsid w:val="635976DF"/>
    <w:rsid w:val="635B58F5"/>
    <w:rsid w:val="63CE5D8F"/>
    <w:rsid w:val="63D74F7B"/>
    <w:rsid w:val="63F7561D"/>
    <w:rsid w:val="63F84A67"/>
    <w:rsid w:val="650C395D"/>
    <w:rsid w:val="653A164E"/>
    <w:rsid w:val="65AB2B63"/>
    <w:rsid w:val="65AE3E74"/>
    <w:rsid w:val="65F0324D"/>
    <w:rsid w:val="665E1984"/>
    <w:rsid w:val="67334254"/>
    <w:rsid w:val="67395F4D"/>
    <w:rsid w:val="6847265E"/>
    <w:rsid w:val="689D68CD"/>
    <w:rsid w:val="690507DD"/>
    <w:rsid w:val="69303421"/>
    <w:rsid w:val="6979104D"/>
    <w:rsid w:val="6A452A79"/>
    <w:rsid w:val="6B4A5D01"/>
    <w:rsid w:val="6BB81B36"/>
    <w:rsid w:val="6C0315E5"/>
    <w:rsid w:val="6D233E90"/>
    <w:rsid w:val="6D6830E8"/>
    <w:rsid w:val="6DB36A59"/>
    <w:rsid w:val="6E241705"/>
    <w:rsid w:val="6F3B6F32"/>
    <w:rsid w:val="6FFE51C0"/>
    <w:rsid w:val="702754DC"/>
    <w:rsid w:val="711A1479"/>
    <w:rsid w:val="71A768D5"/>
    <w:rsid w:val="72FAAEA2"/>
    <w:rsid w:val="732B4A4E"/>
    <w:rsid w:val="73504D4A"/>
    <w:rsid w:val="737427E7"/>
    <w:rsid w:val="73CD1D1B"/>
    <w:rsid w:val="741B7106"/>
    <w:rsid w:val="75FC4D15"/>
    <w:rsid w:val="76B64EC4"/>
    <w:rsid w:val="77183DD1"/>
    <w:rsid w:val="77C63F3F"/>
    <w:rsid w:val="77D916F9"/>
    <w:rsid w:val="78A27DF6"/>
    <w:rsid w:val="78EC7724"/>
    <w:rsid w:val="79FA0252"/>
    <w:rsid w:val="7A1A0D31"/>
    <w:rsid w:val="7A3854A2"/>
    <w:rsid w:val="7A953422"/>
    <w:rsid w:val="7B454A69"/>
    <w:rsid w:val="7B767318"/>
    <w:rsid w:val="7BB62DAE"/>
    <w:rsid w:val="7C9A7BC3"/>
    <w:rsid w:val="7D7B0C16"/>
    <w:rsid w:val="7D813925"/>
    <w:rsid w:val="7DA4409C"/>
    <w:rsid w:val="7E68119A"/>
    <w:rsid w:val="CFFC8D50"/>
    <w:rsid w:val="E5BFA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3439</Words>
  <Characters>3473</Characters>
  <Lines>0</Lines>
  <Paragraphs>0</Paragraphs>
  <TotalTime>61</TotalTime>
  <ScaleCrop>false</ScaleCrop>
  <LinksUpToDate>false</LinksUpToDate>
  <CharactersWithSpaces>3743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2024-05-10T10:26:00Z</dcterms:created>
  <dc:creator>果子</dc:creator>
  <cp:lastModifiedBy>果子</cp:lastModifiedBy>
  <dcterms:modified xsi:type="dcterms:W3CDTF">2024-05-31T08:40:06Z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E3B54E80DE3A45A5AFE284BE46F2FC72_11</vt:lpwstr>
  </property>
</Properties>
</file>