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eastAsia="zh-CN"/>
        </w:rPr>
        <w:t>平顶山市</w:t>
      </w:r>
      <w:r>
        <w:rPr>
          <w:rFonts w:ascii="Times New Roman" w:hAnsi="Times New Roman" w:eastAsia="仿宋_GB2312" w:cs="Times New Roman"/>
          <w:b/>
          <w:bCs/>
          <w:sz w:val="28"/>
          <w:szCs w:val="28"/>
        </w:rPr>
        <w:t>卫生巾</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护垫</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产品质量监督抽查实施细则</w:t>
      </w:r>
    </w:p>
    <w:p>
      <w:pPr>
        <w:spacing w:line="560" w:lineRule="exact"/>
        <w:ind w:firstLine="548"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本细则适用</w:t>
      </w:r>
      <w:r>
        <w:rPr>
          <w:rFonts w:hint="eastAsia" w:ascii="Times New Roman" w:hAnsi="Times New Roman" w:eastAsia="仿宋_GB2312" w:cs="Times New Roman"/>
          <w:sz w:val="28"/>
          <w:szCs w:val="28"/>
          <w:lang w:eastAsia="zh-CN"/>
        </w:rPr>
        <w:t>平顶山市</w:t>
      </w:r>
      <w:bookmarkStart w:id="0" w:name="_GoBack"/>
      <w:bookmarkEnd w:id="0"/>
      <w:r>
        <w:rPr>
          <w:rFonts w:ascii="Times New Roman" w:hAnsi="Times New Roman" w:eastAsia="仿宋_GB2312" w:cs="Times New Roman"/>
          <w:sz w:val="28"/>
          <w:szCs w:val="28"/>
        </w:rPr>
        <w:t>市场监督管理局组织的卫生巾（护垫）产品质量监督抽查。本细则规定了此产品的抽样方法、检验依据、检验项目、检验方法、判定原则等。</w:t>
      </w:r>
    </w:p>
    <w:p>
      <w:pPr>
        <w:snapToGrid w:val="0"/>
        <w:spacing w:line="594" w:lineRule="exact"/>
        <w:ind w:firstLine="548" w:firstLineChars="200"/>
        <w:rPr>
          <w:rFonts w:ascii="Times New Roman" w:hAnsi="Times New Roman" w:eastAsia="黑体" w:cs="Times New Roman"/>
          <w:b/>
          <w:bCs/>
          <w:color w:val="000000"/>
          <w:sz w:val="28"/>
          <w:szCs w:val="28"/>
        </w:rPr>
      </w:pPr>
      <w:r>
        <w:rPr>
          <w:rFonts w:ascii="Times New Roman" w:hAnsi="Times New Roman" w:eastAsia="黑体" w:cs="Times New Roman"/>
          <w:b/>
          <w:bCs/>
          <w:color w:val="000000"/>
          <w:sz w:val="28"/>
          <w:szCs w:val="28"/>
        </w:rPr>
        <w:t>1 抽样方法</w:t>
      </w:r>
    </w:p>
    <w:p>
      <w:pPr>
        <w:adjustRightInd w:val="0"/>
        <w:snapToGrid w:val="0"/>
        <w:spacing w:line="560" w:lineRule="exact"/>
        <w:ind w:firstLine="548"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以随机抽样方式在被抽样生产者、销售者的待销产品中抽取。</w:t>
      </w:r>
    </w:p>
    <w:p>
      <w:pPr>
        <w:snapToGrid w:val="0"/>
        <w:spacing w:line="594" w:lineRule="exact"/>
        <w:ind w:firstLine="548" w:firstLineChars="200"/>
        <w:rPr>
          <w:rFonts w:ascii="Times New Roman" w:hAnsi="Times New Roman" w:eastAsia="仿宋_GB2312" w:cs="Times New Roman"/>
          <w:color w:val="000000"/>
          <w:spacing w:val="-6"/>
          <w:sz w:val="28"/>
          <w:szCs w:val="28"/>
        </w:rPr>
      </w:pPr>
      <w:r>
        <w:rPr>
          <w:rFonts w:ascii="Times New Roman" w:hAnsi="Times New Roman" w:eastAsia="仿宋_GB2312" w:cs="Times New Roman"/>
          <w:color w:val="000000"/>
          <w:sz w:val="28"/>
          <w:szCs w:val="28"/>
        </w:rPr>
        <w:t>随</w:t>
      </w:r>
      <w:r>
        <w:rPr>
          <w:rFonts w:ascii="Times New Roman" w:hAnsi="Times New Roman" w:eastAsia="仿宋_GB2312" w:cs="Times New Roman"/>
          <w:color w:val="000000"/>
          <w:spacing w:val="-6"/>
          <w:sz w:val="28"/>
          <w:szCs w:val="28"/>
        </w:rPr>
        <w:t>机数一般可使用随机数表、随机数骰子或扑克牌等方法产生。</w:t>
      </w:r>
    </w:p>
    <w:p>
      <w:pPr>
        <w:adjustRightInd w:val="0"/>
        <w:snapToGrid w:val="0"/>
        <w:spacing w:afterLines="50" w:line="560" w:lineRule="exact"/>
        <w:ind w:firstLine="548" w:firstLineChars="200"/>
        <w:jc w:val="center"/>
        <w:rPr>
          <w:rFonts w:ascii="Times New Roman" w:hAnsi="Times New Roman" w:eastAsia="仿宋_GB2312" w:cs="Times New Roman"/>
          <w:b/>
          <w:color w:val="000000" w:themeColor="text1"/>
          <w:sz w:val="28"/>
          <w:szCs w:val="28"/>
        </w:rPr>
      </w:pPr>
      <w:r>
        <w:rPr>
          <w:rFonts w:ascii="Times New Roman" w:hAnsi="Times New Roman" w:eastAsia="仿宋_GB2312" w:cs="Times New Roman"/>
          <w:b/>
          <w:color w:val="000000" w:themeColor="text1"/>
          <w:sz w:val="28"/>
          <w:szCs w:val="28"/>
        </w:rPr>
        <w:t>表1</w:t>
      </w:r>
      <w:r>
        <w:rPr>
          <w:rFonts w:hint="eastAsia" w:ascii="Times New Roman" w:hAnsi="Times New Roman" w:eastAsia="仿宋_GB2312" w:cs="Times New Roman"/>
          <w:b/>
          <w:color w:val="000000" w:themeColor="text1"/>
          <w:sz w:val="28"/>
          <w:szCs w:val="28"/>
        </w:rPr>
        <w:t xml:space="preserve"> </w:t>
      </w:r>
      <w:r>
        <w:rPr>
          <w:rFonts w:ascii="Times New Roman" w:hAnsi="Times New Roman" w:eastAsia="仿宋_GB2312" w:cs="Times New Roman"/>
          <w:b/>
          <w:color w:val="000000" w:themeColor="text1"/>
          <w:sz w:val="28"/>
          <w:szCs w:val="28"/>
        </w:rPr>
        <w:t>抽取样品数量</w:t>
      </w:r>
    </w:p>
    <w:tbl>
      <w:tblPr>
        <w:tblStyle w:val="8"/>
        <w:tblW w:w="88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810"/>
        <w:gridCol w:w="1669"/>
        <w:gridCol w:w="2411"/>
        <w:gridCol w:w="2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blHeader/>
        </w:trPr>
        <w:tc>
          <w:tcPr>
            <w:tcW w:w="760"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序号</w:t>
            </w:r>
          </w:p>
        </w:tc>
        <w:tc>
          <w:tcPr>
            <w:tcW w:w="1810"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产品种类</w:t>
            </w:r>
          </w:p>
        </w:tc>
        <w:tc>
          <w:tcPr>
            <w:tcW w:w="1669"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抽样数量（包）</w:t>
            </w:r>
          </w:p>
        </w:tc>
        <w:tc>
          <w:tcPr>
            <w:tcW w:w="2411"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检验样品数量（包）</w:t>
            </w:r>
          </w:p>
        </w:tc>
        <w:tc>
          <w:tcPr>
            <w:tcW w:w="2228"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备用样品数量（包）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760"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1</w:t>
            </w:r>
          </w:p>
        </w:tc>
        <w:tc>
          <w:tcPr>
            <w:tcW w:w="1810"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卫生巾（</w:t>
            </w:r>
            <w:r>
              <w:rPr>
                <w:rFonts w:hint="eastAsia" w:ascii="Times New Roman" w:hAnsi="Times New Roman" w:eastAsia="仿宋_GB2312" w:cs="Times New Roman"/>
                <w:bCs/>
                <w:color w:val="000000"/>
                <w:kern w:val="0"/>
                <w:sz w:val="22"/>
                <w:szCs w:val="22"/>
                <w:lang w:eastAsia="zh-CN"/>
              </w:rPr>
              <w:t>护</w:t>
            </w:r>
            <w:r>
              <w:rPr>
                <w:rFonts w:ascii="Times New Roman" w:hAnsi="Times New Roman" w:eastAsia="仿宋_GB2312" w:cs="Times New Roman"/>
                <w:bCs/>
                <w:color w:val="000000"/>
                <w:kern w:val="0"/>
                <w:sz w:val="22"/>
                <w:szCs w:val="22"/>
              </w:rPr>
              <w:t>垫）</w:t>
            </w:r>
          </w:p>
        </w:tc>
        <w:tc>
          <w:tcPr>
            <w:tcW w:w="1669"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15</w:t>
            </w:r>
          </w:p>
        </w:tc>
        <w:tc>
          <w:tcPr>
            <w:tcW w:w="2411"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12</w:t>
            </w:r>
          </w:p>
        </w:tc>
        <w:tc>
          <w:tcPr>
            <w:tcW w:w="2228" w:type="dxa"/>
            <w:vAlign w:val="center"/>
          </w:tcPr>
          <w:p>
            <w:pPr>
              <w:jc w:val="center"/>
              <w:rPr>
                <w:rFonts w:ascii="Times New Roman" w:hAnsi="Times New Roman" w:eastAsia="仿宋_GB2312" w:cs="Times New Roman"/>
                <w:bCs/>
                <w:color w:val="000000"/>
                <w:kern w:val="0"/>
                <w:sz w:val="22"/>
                <w:szCs w:val="22"/>
              </w:rPr>
            </w:pPr>
            <w:r>
              <w:rPr>
                <w:rFonts w:ascii="Times New Roman" w:hAnsi="Times New Roman" w:eastAsia="仿宋_GB2312" w:cs="Times New Roman"/>
                <w:bCs/>
                <w:color w:val="000000"/>
                <w:kern w:val="0"/>
                <w:sz w:val="22"/>
                <w:szCs w:val="22"/>
              </w:rPr>
              <w:t>3</w:t>
            </w:r>
          </w:p>
        </w:tc>
      </w:tr>
    </w:tbl>
    <w:p>
      <w:pPr>
        <w:snapToGrid w:val="0"/>
        <w:spacing w:line="594" w:lineRule="exact"/>
        <w:ind w:firstLine="548" w:firstLineChars="200"/>
        <w:rPr>
          <w:rFonts w:ascii="Times New Roman" w:hAnsi="Times New Roman" w:eastAsia="黑体" w:cs="Times New Roman"/>
          <w:b/>
          <w:bCs/>
          <w:color w:val="000000"/>
          <w:sz w:val="28"/>
          <w:szCs w:val="28"/>
        </w:rPr>
      </w:pPr>
      <w:r>
        <w:rPr>
          <w:rFonts w:ascii="Times New Roman" w:hAnsi="Times New Roman" w:eastAsia="黑体" w:cs="Times New Roman"/>
          <w:b/>
          <w:bCs/>
          <w:color w:val="000000"/>
          <w:sz w:val="28"/>
          <w:szCs w:val="28"/>
        </w:rPr>
        <w:t>2 检验依据</w:t>
      </w:r>
    </w:p>
    <w:p>
      <w:pPr>
        <w:adjustRightInd w:val="0"/>
        <w:snapToGrid w:val="0"/>
        <w:spacing w:afterLines="50" w:line="560" w:lineRule="exact"/>
        <w:ind w:firstLine="548" w:firstLineChars="200"/>
        <w:jc w:val="center"/>
        <w:rPr>
          <w:rFonts w:ascii="Times New Roman" w:hAnsi="Times New Roman" w:eastAsia="仿宋_GB2312" w:cs="Times New Roman"/>
          <w:b/>
          <w:color w:val="000000" w:themeColor="text1"/>
          <w:sz w:val="28"/>
          <w:szCs w:val="28"/>
        </w:rPr>
      </w:pPr>
      <w:r>
        <w:rPr>
          <w:rFonts w:ascii="Times New Roman" w:hAnsi="Times New Roman" w:eastAsia="仿宋_GB2312" w:cs="Times New Roman"/>
          <w:b/>
          <w:color w:val="000000" w:themeColor="text1"/>
          <w:sz w:val="28"/>
          <w:szCs w:val="28"/>
        </w:rPr>
        <w:t>表2 卫生巾（护垫）</w:t>
      </w:r>
      <w:r>
        <w:rPr>
          <w:rFonts w:hint="eastAsia" w:ascii="Times New Roman" w:hAnsi="Times New Roman" w:eastAsia="仿宋_GB2312" w:cs="Times New Roman"/>
          <w:b/>
          <w:color w:val="000000" w:themeColor="text1"/>
          <w:sz w:val="28"/>
          <w:szCs w:val="28"/>
        </w:rPr>
        <w:t>（GB/T 8389-2018）</w:t>
      </w:r>
    </w:p>
    <w:tbl>
      <w:tblPr>
        <w:tblStyle w:val="8"/>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180"/>
        <w:gridCol w:w="3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序号</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检验项目</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1</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吸水倍率</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GB/T 8389-2018中4.4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2</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吸收速度</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GB/T 8389-2018中附录A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3</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pH</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GB/T 8389-2018中附录C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4</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甲醛含量</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GB/T</w:t>
            </w:r>
            <w:r>
              <w:rPr>
                <w:rFonts w:hint="eastAsia" w:ascii="Times New Roman" w:hAnsi="Times New Roman" w:eastAsia="仿宋_GB2312" w:cs="Times New Roman"/>
                <w:color w:val="000000"/>
                <w:sz w:val="22"/>
                <w:szCs w:val="22"/>
              </w:rPr>
              <w:t xml:space="preserve"> </w:t>
            </w:r>
            <w:r>
              <w:rPr>
                <w:rFonts w:ascii="Times New Roman" w:hAnsi="Times New Roman" w:eastAsia="仿宋_GB2312" w:cs="Times New Roman"/>
                <w:color w:val="000000"/>
                <w:sz w:val="22"/>
                <w:szCs w:val="22"/>
              </w:rPr>
              <w:t>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5</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可迁移性荧光增白剂</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GB/T 8389-2018中附录D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6</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背胶剥离强度</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GB/T 8389-2018中附录E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7</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细菌菌落总数</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GB</w:t>
            </w:r>
            <w:r>
              <w:rPr>
                <w:rFonts w:hint="eastAsia" w:ascii="Times New Roman" w:hAnsi="Times New Roman" w:eastAsia="仿宋_GB2312" w:cs="Times New Roman"/>
                <w:color w:val="000000"/>
                <w:sz w:val="22"/>
                <w:szCs w:val="22"/>
              </w:rPr>
              <w:t xml:space="preserve"> </w:t>
            </w:r>
            <w:r>
              <w:rPr>
                <w:rFonts w:ascii="Times New Roman" w:hAnsi="Times New Roman" w:eastAsia="仿宋_GB2312" w:cs="Times New Roman"/>
                <w:color w:val="000000"/>
                <w:sz w:val="22"/>
                <w:szCs w:val="22"/>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8</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大肠菌群</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GB</w:t>
            </w:r>
            <w:r>
              <w:rPr>
                <w:rFonts w:hint="eastAsia" w:ascii="Times New Roman" w:hAnsi="Times New Roman" w:eastAsia="仿宋_GB2312" w:cs="Times New Roman"/>
                <w:color w:val="000000"/>
                <w:sz w:val="22"/>
                <w:szCs w:val="22"/>
              </w:rPr>
              <w:t xml:space="preserve"> </w:t>
            </w:r>
            <w:r>
              <w:rPr>
                <w:rFonts w:ascii="Times New Roman" w:hAnsi="Times New Roman" w:eastAsia="仿宋_GB2312" w:cs="Times New Roman"/>
                <w:color w:val="000000"/>
                <w:sz w:val="22"/>
                <w:szCs w:val="22"/>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9</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金黄色葡萄球菌</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GB</w:t>
            </w:r>
            <w:r>
              <w:rPr>
                <w:rFonts w:hint="eastAsia" w:ascii="Times New Roman" w:hAnsi="Times New Roman" w:eastAsia="仿宋_GB2312" w:cs="Times New Roman"/>
                <w:color w:val="000000"/>
                <w:sz w:val="22"/>
                <w:szCs w:val="22"/>
              </w:rPr>
              <w:t xml:space="preserve"> </w:t>
            </w:r>
            <w:r>
              <w:rPr>
                <w:rFonts w:ascii="Times New Roman" w:hAnsi="Times New Roman" w:eastAsia="仿宋_GB2312" w:cs="Times New Roman"/>
                <w:color w:val="000000"/>
                <w:sz w:val="22"/>
                <w:szCs w:val="22"/>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10</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铜绿假单胞菌</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GB</w:t>
            </w:r>
            <w:r>
              <w:rPr>
                <w:rFonts w:hint="eastAsia" w:ascii="Times New Roman" w:hAnsi="Times New Roman" w:eastAsia="仿宋_GB2312" w:cs="Times New Roman"/>
                <w:color w:val="000000"/>
                <w:sz w:val="22"/>
                <w:szCs w:val="22"/>
              </w:rPr>
              <w:t xml:space="preserve"> </w:t>
            </w:r>
            <w:r>
              <w:rPr>
                <w:rFonts w:ascii="Times New Roman" w:hAnsi="Times New Roman" w:eastAsia="仿宋_GB2312" w:cs="Times New Roman"/>
                <w:color w:val="000000"/>
                <w:sz w:val="22"/>
                <w:szCs w:val="22"/>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11</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lang w:eastAsia="en-US"/>
              </w:rPr>
            </w:pPr>
            <w:r>
              <w:rPr>
                <w:rFonts w:ascii="Times New Roman" w:hAnsi="Times New Roman" w:eastAsia="仿宋_GB2312" w:cs="Times New Roman"/>
                <w:color w:val="000000"/>
                <w:sz w:val="22"/>
                <w:szCs w:val="22"/>
                <w:lang w:eastAsia="en-US"/>
              </w:rPr>
              <w:t>溶血性链球菌</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GB</w:t>
            </w:r>
            <w:r>
              <w:rPr>
                <w:rFonts w:hint="eastAsia" w:ascii="Times New Roman" w:hAnsi="Times New Roman" w:eastAsia="仿宋_GB2312" w:cs="Times New Roman"/>
                <w:color w:val="000000"/>
                <w:sz w:val="22"/>
                <w:szCs w:val="22"/>
              </w:rPr>
              <w:t xml:space="preserve"> </w:t>
            </w:r>
            <w:r>
              <w:rPr>
                <w:rFonts w:ascii="Times New Roman" w:hAnsi="Times New Roman" w:eastAsia="仿宋_GB2312" w:cs="Times New Roman"/>
                <w:color w:val="000000"/>
                <w:sz w:val="22"/>
                <w:szCs w:val="22"/>
                <w:lang w:eastAsia="en-US"/>
              </w:rPr>
              <w:t>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rPr>
              <w:t>12</w:t>
            </w:r>
          </w:p>
        </w:tc>
        <w:tc>
          <w:tcPr>
            <w:tcW w:w="4180" w:type="dxa"/>
            <w:vAlign w:val="center"/>
          </w:tcPr>
          <w:p>
            <w:pPr>
              <w:adjustRightInd w:val="0"/>
              <w:snapToGrid w:val="0"/>
              <w:spacing w:line="360" w:lineRule="auto"/>
              <w:jc w:val="center"/>
              <w:rPr>
                <w:rFonts w:ascii="Times New Roman" w:hAnsi="Times New Roman" w:eastAsia="仿宋_GB2312" w:cs="Times New Roman"/>
                <w:color w:val="000000"/>
                <w:sz w:val="22"/>
                <w:szCs w:val="22"/>
                <w:lang w:eastAsia="en-US"/>
              </w:rPr>
            </w:pPr>
            <w:r>
              <w:rPr>
                <w:rFonts w:ascii="Times New Roman" w:hAnsi="Times New Roman" w:eastAsia="仿宋_GB2312" w:cs="Times New Roman"/>
                <w:color w:val="000000"/>
                <w:sz w:val="22"/>
                <w:szCs w:val="22"/>
                <w:lang w:eastAsia="en-US"/>
              </w:rPr>
              <w:t>真菌菌落总数</w:t>
            </w:r>
          </w:p>
        </w:tc>
        <w:tc>
          <w:tcPr>
            <w:tcW w:w="3850" w:type="dxa"/>
            <w:vAlign w:val="center"/>
          </w:tcPr>
          <w:p>
            <w:pPr>
              <w:adjustRightInd w:val="0"/>
              <w:snapToGrid w:val="0"/>
              <w:spacing w:line="360" w:lineRule="auto"/>
              <w:jc w:val="center"/>
              <w:rPr>
                <w:rFonts w:ascii="Times New Roman" w:hAnsi="Times New Roman" w:eastAsia="仿宋_GB2312" w:cs="Times New Roman"/>
                <w:color w:val="000000"/>
                <w:sz w:val="22"/>
                <w:szCs w:val="22"/>
              </w:rPr>
            </w:pPr>
            <w:r>
              <w:rPr>
                <w:rFonts w:ascii="Times New Roman" w:hAnsi="Times New Roman" w:eastAsia="仿宋_GB2312" w:cs="Times New Roman"/>
                <w:color w:val="000000"/>
                <w:sz w:val="22"/>
                <w:szCs w:val="22"/>
                <w:lang w:eastAsia="en-US"/>
              </w:rPr>
              <w:t>GB</w:t>
            </w:r>
            <w:r>
              <w:rPr>
                <w:rFonts w:hint="eastAsia" w:ascii="Times New Roman" w:hAnsi="Times New Roman" w:eastAsia="仿宋_GB2312" w:cs="Times New Roman"/>
                <w:color w:val="000000"/>
                <w:sz w:val="22"/>
                <w:szCs w:val="22"/>
              </w:rPr>
              <w:t xml:space="preserve"> </w:t>
            </w:r>
            <w:r>
              <w:rPr>
                <w:rFonts w:ascii="Times New Roman" w:hAnsi="Times New Roman" w:eastAsia="仿宋_GB2312" w:cs="Times New Roman"/>
                <w:color w:val="000000"/>
                <w:sz w:val="22"/>
                <w:szCs w:val="22"/>
                <w:lang w:eastAsia="en-US"/>
              </w:rPr>
              <w:t>15979-2002</w:t>
            </w:r>
          </w:p>
        </w:tc>
      </w:tr>
    </w:tbl>
    <w:p>
      <w:pPr>
        <w:adjustRightInd w:val="0"/>
        <w:snapToGrid w:val="0"/>
        <w:spacing w:line="560" w:lineRule="exact"/>
        <w:ind w:firstLine="548"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执行企业标准、团体标准、地方标准的产品，检验项目参照上述内容执行。</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凡是注日期的文件，其随后所有的修改单（不包括勘误的内容）或修订版不适用于本细则。凡是不注日期的文件，其最新版本适用于本细则。</w:t>
      </w:r>
    </w:p>
    <w:p>
      <w:pPr>
        <w:spacing w:line="594" w:lineRule="exact"/>
        <w:ind w:firstLine="548" w:firstLineChars="200"/>
        <w:rPr>
          <w:rFonts w:ascii="Times New Roman" w:hAnsi="Times New Roman" w:eastAsia="黑体" w:cs="Times New Roman"/>
          <w:b/>
          <w:bCs/>
          <w:color w:val="000000"/>
          <w:sz w:val="28"/>
          <w:szCs w:val="28"/>
        </w:rPr>
      </w:pPr>
      <w:r>
        <w:rPr>
          <w:rFonts w:ascii="Times New Roman" w:hAnsi="Times New Roman" w:eastAsia="黑体" w:cs="Times New Roman"/>
          <w:b/>
          <w:bCs/>
          <w:color w:val="000000"/>
          <w:sz w:val="28"/>
          <w:szCs w:val="28"/>
        </w:rPr>
        <w:t>3 判定规则</w:t>
      </w:r>
    </w:p>
    <w:p>
      <w:pPr>
        <w:adjustRightInd w:val="0"/>
        <w:snapToGrid w:val="0"/>
        <w:spacing w:line="560" w:lineRule="exact"/>
        <w:ind w:firstLine="548" w:firstLineChars="200"/>
        <w:rPr>
          <w:rFonts w:ascii="Times New Roman" w:hAnsi="Times New Roman" w:eastAsia="楷体_GB2312" w:cs="Times New Roman"/>
          <w:b/>
          <w:color w:val="000000"/>
          <w:sz w:val="28"/>
          <w:szCs w:val="28"/>
        </w:rPr>
      </w:pPr>
      <w:r>
        <w:rPr>
          <w:rFonts w:ascii="Times New Roman" w:hAnsi="Times New Roman" w:eastAsia="楷体_GB2312" w:cs="Times New Roman"/>
          <w:b/>
          <w:color w:val="000000"/>
          <w:sz w:val="28"/>
          <w:szCs w:val="28"/>
        </w:rPr>
        <w:t>3.1依据标准</w:t>
      </w:r>
    </w:p>
    <w:p>
      <w:pPr>
        <w:snapToGrid w:val="0"/>
        <w:spacing w:line="594" w:lineRule="exact"/>
        <w:ind w:firstLine="548"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GB 15979-2002《一次性使用卫生用品卫生标准》</w:t>
      </w:r>
    </w:p>
    <w:p>
      <w:pPr>
        <w:snapToGrid w:val="0"/>
        <w:spacing w:line="594" w:lineRule="exact"/>
        <w:ind w:firstLine="548"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GB/T 8939-2018《卫生巾（护垫）》</w:t>
      </w:r>
    </w:p>
    <w:p>
      <w:pPr>
        <w:spacing w:line="594" w:lineRule="exact"/>
        <w:ind w:firstLine="548" w:firstLineChars="200"/>
        <w:rPr>
          <w:rFonts w:ascii="Times New Roman" w:hAnsi="Times New Roman" w:eastAsia="仿宋_GB2312" w:cs="Times New Roman"/>
          <w:sz w:val="28"/>
          <w:szCs w:val="28"/>
          <w:lang w:val="zh-CN"/>
        </w:rPr>
      </w:pPr>
      <w:r>
        <w:rPr>
          <w:rFonts w:ascii="Times New Roman" w:hAnsi="Times New Roman" w:eastAsia="仿宋_GB2312" w:cs="Times New Roman"/>
          <w:color w:val="000000"/>
          <w:sz w:val="28"/>
          <w:szCs w:val="28"/>
        </w:rPr>
        <w:t>现行有效的企业标准、团体标准、地方标准及产品明示质量要求。</w:t>
      </w:r>
    </w:p>
    <w:p>
      <w:pPr>
        <w:adjustRightInd w:val="0"/>
        <w:snapToGrid w:val="0"/>
        <w:spacing w:line="560" w:lineRule="exact"/>
        <w:ind w:firstLine="548" w:firstLineChars="200"/>
        <w:rPr>
          <w:rFonts w:ascii="Times New Roman" w:hAnsi="Times New Roman" w:eastAsia="楷体_GB2312" w:cs="Times New Roman"/>
          <w:b/>
          <w:color w:val="000000"/>
          <w:sz w:val="28"/>
          <w:szCs w:val="28"/>
        </w:rPr>
      </w:pPr>
      <w:r>
        <w:rPr>
          <w:rFonts w:ascii="Times New Roman" w:hAnsi="Times New Roman" w:eastAsia="楷体_GB2312" w:cs="Times New Roman"/>
          <w:b/>
          <w:color w:val="000000"/>
          <w:sz w:val="28"/>
          <w:szCs w:val="28"/>
        </w:rPr>
        <w:t>3.2判定原则</w:t>
      </w:r>
    </w:p>
    <w:p>
      <w:pPr>
        <w:snapToGrid w:val="0"/>
        <w:spacing w:line="594" w:lineRule="exact"/>
        <w:ind w:firstLine="548"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经检验，检验项目全部合格，判定为被抽查产品合格；检验项目中任一项或一项以上不合格，判定为被抽查产品不合格。</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若被检产品明示的质量要求高于本细则中检验项目依据的标准要求时，应按被检产品明示的质量要求判定。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若被检产品明示的质量要求低于本细则中检验项目依据的强制性标准要求时，应按照强制性标准要求判定。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若被检产品明示的质量要求低于或包含本细则中检验项目依据的推荐性标准要求时，应以被检产品明示的质量要求判定。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若被检产品明示的质量要求缺少本细则中检验项目依据的强制性标准要求时，应按照强制性标准要求判定。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若被检产品明示的质量要求缺少本细则中检验项目依据的推荐性标准要求时，该项目不参与判定。</w:t>
      </w:r>
    </w:p>
    <w:p>
      <w:pPr>
        <w:snapToGrid w:val="0"/>
        <w:spacing w:line="594" w:lineRule="exact"/>
        <w:ind w:firstLine="546" w:firstLineChars="199"/>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微生物项目不合格不进行复检。</w:t>
      </w:r>
    </w:p>
    <w:sectPr>
      <w:footerReference r:id="rId3" w:type="default"/>
      <w:pgSz w:w="11906" w:h="16838"/>
      <w:pgMar w:top="1984" w:right="1474" w:bottom="1361" w:left="1474" w:header="851" w:footer="1361" w:gutter="0"/>
      <w:cols w:space="0" w:num="1"/>
      <w:docGrid w:type="linesAndChars" w:linePitch="298"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sdt>
                <w:sdtPr>
                  <w:rPr>
                    <w:rFonts w:hint="eastAsia" w:ascii="宋体" w:hAnsi="宋体" w:eastAsia="宋体" w:cs="宋体"/>
                    <w:sz w:val="28"/>
                    <w:szCs w:val="28"/>
                  </w:rPr>
                  <w:id w:val="-1261989823"/>
                </w:sdtPr>
                <w:sdtEndPr>
                  <w:rPr>
                    <w:rFonts w:hint="eastAsia" w:ascii="宋体" w:hAnsi="宋体" w:eastAsia="宋体" w:cs="宋体"/>
                    <w:sz w:val="28"/>
                    <w:szCs w:val="28"/>
                  </w:rPr>
                </w:sdtEndPr>
                <w:sdtContent>
                  <w:p>
                    <w:pPr>
                      <w:pStyle w:val="3"/>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sdtContent>
              </w:sdt>
              <w:p>
                <w:pPr>
                  <w:rPr>
                    <w:rFonts w:ascii="宋体" w:hAnsi="宋体" w:eastAsia="宋体" w:cs="宋体"/>
                    <w:sz w:val="28"/>
                    <w:szCs w:val="28"/>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02"/>
  <w:drawingGridVerticalSpacing w:val="149"/>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Y1MGYxZTg5ZGJhZDhlMzU0YjA0MmQyMmRiZTdmOGIifQ=="/>
  </w:docVars>
  <w:rsids>
    <w:rsidRoot w:val="002720F8"/>
    <w:rsid w:val="000049CE"/>
    <w:rsid w:val="00013890"/>
    <w:rsid w:val="000232F9"/>
    <w:rsid w:val="0004524E"/>
    <w:rsid w:val="000500E0"/>
    <w:rsid w:val="000731C9"/>
    <w:rsid w:val="000A67A7"/>
    <w:rsid w:val="000C5CBE"/>
    <w:rsid w:val="000E21AE"/>
    <w:rsid w:val="000E741B"/>
    <w:rsid w:val="00111EBD"/>
    <w:rsid w:val="001850A2"/>
    <w:rsid w:val="001C2564"/>
    <w:rsid w:val="001D4E92"/>
    <w:rsid w:val="001E0F6D"/>
    <w:rsid w:val="001E79D2"/>
    <w:rsid w:val="002039FE"/>
    <w:rsid w:val="00206D31"/>
    <w:rsid w:val="00224E34"/>
    <w:rsid w:val="0023233E"/>
    <w:rsid w:val="002455DC"/>
    <w:rsid w:val="00266EA3"/>
    <w:rsid w:val="00271EB5"/>
    <w:rsid w:val="002720F8"/>
    <w:rsid w:val="002A3AAD"/>
    <w:rsid w:val="002B21AB"/>
    <w:rsid w:val="002C7FF9"/>
    <w:rsid w:val="002D31C1"/>
    <w:rsid w:val="002E3C81"/>
    <w:rsid w:val="0032196E"/>
    <w:rsid w:val="003334B6"/>
    <w:rsid w:val="00333D9B"/>
    <w:rsid w:val="00366169"/>
    <w:rsid w:val="00371DAD"/>
    <w:rsid w:val="003A1AFF"/>
    <w:rsid w:val="003C52B9"/>
    <w:rsid w:val="003C60BC"/>
    <w:rsid w:val="003D605A"/>
    <w:rsid w:val="00405F99"/>
    <w:rsid w:val="004148E2"/>
    <w:rsid w:val="00432EB7"/>
    <w:rsid w:val="004356B1"/>
    <w:rsid w:val="00442AF4"/>
    <w:rsid w:val="00460019"/>
    <w:rsid w:val="00492560"/>
    <w:rsid w:val="00493CF3"/>
    <w:rsid w:val="004B2648"/>
    <w:rsid w:val="004B43A2"/>
    <w:rsid w:val="004B7761"/>
    <w:rsid w:val="004E70B3"/>
    <w:rsid w:val="004E7BBF"/>
    <w:rsid w:val="00514D35"/>
    <w:rsid w:val="00563F32"/>
    <w:rsid w:val="00580BA8"/>
    <w:rsid w:val="00581201"/>
    <w:rsid w:val="005951ED"/>
    <w:rsid w:val="005E2062"/>
    <w:rsid w:val="005F6F84"/>
    <w:rsid w:val="00602393"/>
    <w:rsid w:val="006049ED"/>
    <w:rsid w:val="00611970"/>
    <w:rsid w:val="00626EBF"/>
    <w:rsid w:val="00645A0E"/>
    <w:rsid w:val="006529B5"/>
    <w:rsid w:val="00677A07"/>
    <w:rsid w:val="006861DD"/>
    <w:rsid w:val="00690D3D"/>
    <w:rsid w:val="00697C39"/>
    <w:rsid w:val="006B5372"/>
    <w:rsid w:val="006C1431"/>
    <w:rsid w:val="006D0D07"/>
    <w:rsid w:val="006D0E89"/>
    <w:rsid w:val="006D11C9"/>
    <w:rsid w:val="00714FAA"/>
    <w:rsid w:val="007243A5"/>
    <w:rsid w:val="007504BE"/>
    <w:rsid w:val="00762AAE"/>
    <w:rsid w:val="00786089"/>
    <w:rsid w:val="00795BCF"/>
    <w:rsid w:val="007B216C"/>
    <w:rsid w:val="007D1A30"/>
    <w:rsid w:val="007D3664"/>
    <w:rsid w:val="007D548E"/>
    <w:rsid w:val="007E39FB"/>
    <w:rsid w:val="008479E9"/>
    <w:rsid w:val="0086138B"/>
    <w:rsid w:val="00896DB8"/>
    <w:rsid w:val="008D4A95"/>
    <w:rsid w:val="00903196"/>
    <w:rsid w:val="00924447"/>
    <w:rsid w:val="00924F0B"/>
    <w:rsid w:val="00966F02"/>
    <w:rsid w:val="00992192"/>
    <w:rsid w:val="009941C0"/>
    <w:rsid w:val="009D0B18"/>
    <w:rsid w:val="009E1FEB"/>
    <w:rsid w:val="00A42A73"/>
    <w:rsid w:val="00A53AB1"/>
    <w:rsid w:val="00AA79BD"/>
    <w:rsid w:val="00AD06A8"/>
    <w:rsid w:val="00AF2839"/>
    <w:rsid w:val="00B13F17"/>
    <w:rsid w:val="00B250D4"/>
    <w:rsid w:val="00B30457"/>
    <w:rsid w:val="00B720CC"/>
    <w:rsid w:val="00BA52A2"/>
    <w:rsid w:val="00BA6009"/>
    <w:rsid w:val="00C06925"/>
    <w:rsid w:val="00C30EF2"/>
    <w:rsid w:val="00C34866"/>
    <w:rsid w:val="00C65D36"/>
    <w:rsid w:val="00C802EA"/>
    <w:rsid w:val="00CE1036"/>
    <w:rsid w:val="00CE723C"/>
    <w:rsid w:val="00CF2F09"/>
    <w:rsid w:val="00D10A00"/>
    <w:rsid w:val="00D13DF0"/>
    <w:rsid w:val="00D159ED"/>
    <w:rsid w:val="00D21ADA"/>
    <w:rsid w:val="00D36E9D"/>
    <w:rsid w:val="00D523B8"/>
    <w:rsid w:val="00DC2C32"/>
    <w:rsid w:val="00DD068E"/>
    <w:rsid w:val="00DE7E0F"/>
    <w:rsid w:val="00DF1C3D"/>
    <w:rsid w:val="00DF2639"/>
    <w:rsid w:val="00E10A0A"/>
    <w:rsid w:val="00E167CA"/>
    <w:rsid w:val="00E32F4F"/>
    <w:rsid w:val="00E44968"/>
    <w:rsid w:val="00E56919"/>
    <w:rsid w:val="00E73DDF"/>
    <w:rsid w:val="00E81F24"/>
    <w:rsid w:val="00EB737E"/>
    <w:rsid w:val="00EC63B4"/>
    <w:rsid w:val="00EC7CD0"/>
    <w:rsid w:val="00ED0E52"/>
    <w:rsid w:val="00ED7784"/>
    <w:rsid w:val="00EE5575"/>
    <w:rsid w:val="00EF0FF9"/>
    <w:rsid w:val="00F03212"/>
    <w:rsid w:val="00F1388B"/>
    <w:rsid w:val="00F21862"/>
    <w:rsid w:val="00F4297A"/>
    <w:rsid w:val="00F7461A"/>
    <w:rsid w:val="00F77810"/>
    <w:rsid w:val="00F932AA"/>
    <w:rsid w:val="00FD2FD0"/>
    <w:rsid w:val="00FE7884"/>
    <w:rsid w:val="020F7F43"/>
    <w:rsid w:val="03633CE8"/>
    <w:rsid w:val="03BA1A5C"/>
    <w:rsid w:val="04AD267B"/>
    <w:rsid w:val="05426852"/>
    <w:rsid w:val="06A43FD8"/>
    <w:rsid w:val="09B802FA"/>
    <w:rsid w:val="0C090135"/>
    <w:rsid w:val="0E5C53D2"/>
    <w:rsid w:val="135636F7"/>
    <w:rsid w:val="18600DA4"/>
    <w:rsid w:val="196C3AD6"/>
    <w:rsid w:val="1A700323"/>
    <w:rsid w:val="1A730087"/>
    <w:rsid w:val="1AF50B53"/>
    <w:rsid w:val="1F5C4D44"/>
    <w:rsid w:val="21AE27D6"/>
    <w:rsid w:val="22B51B96"/>
    <w:rsid w:val="24307F76"/>
    <w:rsid w:val="24B701AE"/>
    <w:rsid w:val="268C2FC4"/>
    <w:rsid w:val="278D0D3B"/>
    <w:rsid w:val="28322380"/>
    <w:rsid w:val="29AA79ED"/>
    <w:rsid w:val="2AF62AC9"/>
    <w:rsid w:val="2B45711A"/>
    <w:rsid w:val="2CCF54E4"/>
    <w:rsid w:val="2CF236D9"/>
    <w:rsid w:val="2E191F4D"/>
    <w:rsid w:val="2E5A49E9"/>
    <w:rsid w:val="303C557E"/>
    <w:rsid w:val="31567C67"/>
    <w:rsid w:val="31781EF3"/>
    <w:rsid w:val="321E6965"/>
    <w:rsid w:val="32337CF4"/>
    <w:rsid w:val="32670304"/>
    <w:rsid w:val="32EA6ECB"/>
    <w:rsid w:val="33515BAE"/>
    <w:rsid w:val="3899266B"/>
    <w:rsid w:val="392C2202"/>
    <w:rsid w:val="39B11289"/>
    <w:rsid w:val="3A0850D6"/>
    <w:rsid w:val="3A6F3958"/>
    <w:rsid w:val="3C2D68A1"/>
    <w:rsid w:val="3CC04D25"/>
    <w:rsid w:val="3D6E5CB5"/>
    <w:rsid w:val="3E1144CF"/>
    <w:rsid w:val="3EC82C81"/>
    <w:rsid w:val="402356EF"/>
    <w:rsid w:val="402925DA"/>
    <w:rsid w:val="404D13CF"/>
    <w:rsid w:val="45BA5EB7"/>
    <w:rsid w:val="48C570A4"/>
    <w:rsid w:val="49D46CF1"/>
    <w:rsid w:val="49D8009E"/>
    <w:rsid w:val="4BF210B7"/>
    <w:rsid w:val="4FE85C5D"/>
    <w:rsid w:val="50EB16C5"/>
    <w:rsid w:val="525B487D"/>
    <w:rsid w:val="52C35FEA"/>
    <w:rsid w:val="53226CDE"/>
    <w:rsid w:val="54587C4A"/>
    <w:rsid w:val="55A961F2"/>
    <w:rsid w:val="569C73C1"/>
    <w:rsid w:val="58D861C1"/>
    <w:rsid w:val="58DD1499"/>
    <w:rsid w:val="5BED2034"/>
    <w:rsid w:val="5C370E42"/>
    <w:rsid w:val="5C6B2DC6"/>
    <w:rsid w:val="5C8517D2"/>
    <w:rsid w:val="621A3C65"/>
    <w:rsid w:val="62DB05FD"/>
    <w:rsid w:val="62FA12BF"/>
    <w:rsid w:val="63435F73"/>
    <w:rsid w:val="63D51F26"/>
    <w:rsid w:val="64F10CB0"/>
    <w:rsid w:val="66571AF5"/>
    <w:rsid w:val="67DB3077"/>
    <w:rsid w:val="68EA654A"/>
    <w:rsid w:val="6A7348E4"/>
    <w:rsid w:val="6C6F283E"/>
    <w:rsid w:val="6CCA2781"/>
    <w:rsid w:val="6CE1526E"/>
    <w:rsid w:val="6F372B8E"/>
    <w:rsid w:val="72F54E32"/>
    <w:rsid w:val="74374156"/>
    <w:rsid w:val="76635DD9"/>
    <w:rsid w:val="767926DB"/>
    <w:rsid w:val="778465C2"/>
    <w:rsid w:val="78080052"/>
    <w:rsid w:val="789F7665"/>
    <w:rsid w:val="79E45269"/>
    <w:rsid w:val="7B1F613F"/>
    <w:rsid w:val="7EBC0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0"/>
    <w:semiHidden/>
    <w:unhideWhenUsed/>
    <w:qFormat/>
    <w:uiPriority w:val="99"/>
    <w:rPr>
      <w:sz w:val="18"/>
      <w:szCs w:val="18"/>
    </w:rPr>
  </w:style>
  <w:style w:type="paragraph" w:styleId="3">
    <w:name w:val="footer"/>
    <w:basedOn w:val="1"/>
    <w:link w:val="18"/>
    <w:unhideWhenUsed/>
    <w:qFormat/>
    <w:uiPriority w:val="99"/>
    <w:pPr>
      <w:tabs>
        <w:tab w:val="center" w:pos="4153"/>
        <w:tab w:val="right" w:pos="8306"/>
      </w:tabs>
      <w:snapToGrid w:val="0"/>
      <w:jc w:val="left"/>
    </w:pPr>
    <w:rPr>
      <w:sz w:val="18"/>
      <w:szCs w:val="18"/>
    </w:rPr>
  </w:style>
  <w:style w:type="paragraph" w:styleId="4">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5"/>
    <w:qFormat/>
    <w:uiPriority w:val="0"/>
    <w:pPr>
      <w:widowControl/>
      <w:autoSpaceDE w:val="0"/>
      <w:autoSpaceDN w:val="0"/>
      <w:adjustRightInd w:val="0"/>
      <w:snapToGrid w:val="0"/>
      <w:spacing w:line="600" w:lineRule="exact"/>
      <w:ind w:left="646" w:leftChars="323" w:firstLine="643" w:firstLineChars="201"/>
    </w:pPr>
    <w:rPr>
      <w:rFonts w:ascii="仿宋_GB2312" w:eastAsia="仿宋_GB2312"/>
      <w:sz w:val="32"/>
    </w:rPr>
  </w:style>
  <w:style w:type="paragraph" w:styleId="6">
    <w:name w:val="HTML Preformatted"/>
    <w:basedOn w:val="1"/>
    <w:link w:val="1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semiHidden/>
    <w:unhideWhenUsed/>
    <w:qFormat/>
    <w:uiPriority w:val="99"/>
    <w:rPr>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99"/>
  </w:style>
  <w:style w:type="character" w:styleId="12">
    <w:name w:val="Hyperlink"/>
    <w:basedOn w:val="10"/>
    <w:semiHidden/>
    <w:unhideWhenUsed/>
    <w:qFormat/>
    <w:uiPriority w:val="99"/>
    <w:rPr>
      <w:color w:val="0000FF"/>
      <w:u w:val="single"/>
    </w:rPr>
  </w:style>
  <w:style w:type="paragraph" w:styleId="13">
    <w:name w:val="List Paragraph"/>
    <w:basedOn w:val="1"/>
    <w:qFormat/>
    <w:uiPriority w:val="34"/>
    <w:pPr>
      <w:ind w:firstLine="420" w:firstLineChars="200"/>
    </w:pPr>
  </w:style>
  <w:style w:type="paragraph" w:customStyle="1" w:styleId="14">
    <w:name w:val="17"/>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
    <w:name w:val="正文文本缩进 3 Char"/>
    <w:link w:val="5"/>
    <w:qFormat/>
    <w:uiPriority w:val="0"/>
    <w:rPr>
      <w:rFonts w:ascii="仿宋_GB2312" w:eastAsia="仿宋_GB2312"/>
      <w:sz w:val="32"/>
    </w:rPr>
  </w:style>
  <w:style w:type="character" w:customStyle="1" w:styleId="16">
    <w:name w:val="正文文本缩进 3 字符"/>
    <w:basedOn w:val="10"/>
    <w:semiHidden/>
    <w:qFormat/>
    <w:uiPriority w:val="99"/>
    <w:rPr>
      <w:sz w:val="16"/>
      <w:szCs w:val="16"/>
    </w:rPr>
  </w:style>
  <w:style w:type="character" w:customStyle="1" w:styleId="17">
    <w:name w:val="页眉 Char"/>
    <w:basedOn w:val="10"/>
    <w:link w:val="4"/>
    <w:qFormat/>
    <w:uiPriority w:val="99"/>
    <w:rPr>
      <w:sz w:val="18"/>
      <w:szCs w:val="18"/>
    </w:rPr>
  </w:style>
  <w:style w:type="character" w:customStyle="1" w:styleId="18">
    <w:name w:val="页脚 Char"/>
    <w:basedOn w:val="10"/>
    <w:link w:val="3"/>
    <w:qFormat/>
    <w:uiPriority w:val="99"/>
    <w:rPr>
      <w:sz w:val="18"/>
      <w:szCs w:val="18"/>
    </w:rPr>
  </w:style>
  <w:style w:type="character" w:customStyle="1" w:styleId="19">
    <w:name w:val="HTML 预设格式 Char"/>
    <w:basedOn w:val="10"/>
    <w:link w:val="6"/>
    <w:semiHidden/>
    <w:qFormat/>
    <w:uiPriority w:val="99"/>
    <w:rPr>
      <w:rFonts w:ascii="宋体" w:hAnsi="宋体" w:eastAsia="宋体" w:cs="宋体"/>
      <w:kern w:val="0"/>
      <w:sz w:val="24"/>
      <w:szCs w:val="24"/>
    </w:rPr>
  </w:style>
  <w:style w:type="character" w:customStyle="1" w:styleId="20">
    <w:name w:val="批注框文本 Char"/>
    <w:basedOn w:val="10"/>
    <w:link w:val="2"/>
    <w:semiHidden/>
    <w:qFormat/>
    <w:uiPriority w:val="99"/>
    <w:rPr>
      <w:sz w:val="18"/>
      <w:szCs w:val="18"/>
    </w:rPr>
  </w:style>
  <w:style w:type="paragraph" w:customStyle="1" w:styleId="21">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2">
    <w:name w:val="Normal_0"/>
    <w:basedOn w:val="1"/>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8A4637-8AA0-4472-98DD-09B6FF176FA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178</Words>
  <Characters>1016</Characters>
  <Lines>8</Lines>
  <Paragraphs>2</Paragraphs>
  <TotalTime>9</TotalTime>
  <ScaleCrop>false</ScaleCrop>
  <LinksUpToDate>false</LinksUpToDate>
  <CharactersWithSpaces>1192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2020-02-01T14:27:00Z</dcterms:created>
  <dc:creator>USER</dc:creator>
  <cp:lastModifiedBy>Administrator</cp:lastModifiedBy>
  <cp:lastPrinted>2020-02-05T02:38:00Z</cp:lastPrinted>
  <dcterms:modified xsi:type="dcterms:W3CDTF">2023-11-20T03:40:04Z</dcterms:modified>
  <dc:title>市场监管总局关于开展口罩产品质量监督专项抽查有关工作的通知</dc:title>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330931100EF74CB9A705781909CF9568</vt:lpwstr>
  </property>
</Properties>
</file>